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77261C">
        <w:rPr>
          <w:rFonts w:ascii="Arial" w:hAnsi="Arial" w:cs="Arial"/>
          <w:b/>
          <w:bCs/>
          <w:color w:val="222222"/>
          <w:sz w:val="32"/>
          <w:szCs w:val="24"/>
        </w:rPr>
        <w:t>3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 the Armed Conflict in Patikul, Sulu</w:t>
      </w:r>
    </w:p>
    <w:p w:rsidR="001C4359" w:rsidRPr="00AE3F9B" w:rsidRDefault="00EF730D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9 September 2016, 11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On-going military operations in Sulu Province particularly in Patikul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r w:rsidRPr="00AE3F9B">
        <w:rPr>
          <w:rFonts w:ascii="Arial" w:hAnsi="Arial" w:cs="Arial"/>
          <w:color w:val="222222"/>
          <w:sz w:val="24"/>
          <w:szCs w:val="24"/>
        </w:rPr>
        <w:t>, Patikul.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3C417E">
        <w:rPr>
          <w:rFonts w:ascii="Arial" w:hAnsi="Arial" w:cs="Arial"/>
          <w:sz w:val="24"/>
          <w:szCs w:val="24"/>
        </w:rPr>
        <w:t xml:space="preserve">A total of 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3,985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families or 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19,763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>persons</w:t>
      </w:r>
      <w:r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A28D0">
        <w:rPr>
          <w:rFonts w:ascii="Arial" w:hAnsi="Arial" w:cs="Arial"/>
          <w:sz w:val="24"/>
          <w:szCs w:val="24"/>
        </w:rPr>
        <w:t xml:space="preserve">from </w:t>
      </w:r>
      <w:r w:rsidR="007A28D0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>44 barangays</w:t>
      </w:r>
      <w:r w:rsidR="007A28D0"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3C417E">
        <w:rPr>
          <w:rFonts w:ascii="Arial" w:hAnsi="Arial" w:cs="Arial"/>
          <w:sz w:val="24"/>
          <w:szCs w:val="24"/>
        </w:rPr>
        <w:t>were affected in Patikul</w:t>
      </w:r>
      <w:r w:rsidR="007A28D0">
        <w:rPr>
          <w:rFonts w:ascii="Arial" w:hAnsi="Arial" w:cs="Arial"/>
          <w:sz w:val="24"/>
          <w:szCs w:val="24"/>
        </w:rPr>
        <w:t>,</w:t>
      </w:r>
      <w:r w:rsidRPr="003C417E">
        <w:rPr>
          <w:rFonts w:ascii="Arial" w:hAnsi="Arial" w:cs="Arial"/>
          <w:sz w:val="24"/>
          <w:szCs w:val="24"/>
        </w:rPr>
        <w:t xml:space="preserve"> Maimbung</w:t>
      </w:r>
      <w:r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7A28D0" w:rsidRPr="003F6FAF">
        <w:rPr>
          <w:rFonts w:ascii="Arial" w:hAnsi="Arial" w:cs="Arial"/>
          <w:color w:val="365F91" w:themeColor="accent1" w:themeShade="BF"/>
          <w:sz w:val="24"/>
          <w:szCs w:val="24"/>
        </w:rPr>
        <w:t>Indanan,</w:t>
      </w:r>
      <w:r w:rsidR="00334117"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 Parang and Panamao </w:t>
      </w:r>
      <w:r w:rsidR="00334117">
        <w:rPr>
          <w:rFonts w:ascii="Arial" w:hAnsi="Arial" w:cs="Arial"/>
          <w:sz w:val="24"/>
          <w:szCs w:val="24"/>
        </w:rPr>
        <w:t xml:space="preserve">in </w:t>
      </w:r>
      <w:r w:rsidRPr="003C417E">
        <w:rPr>
          <w:rFonts w:ascii="Arial" w:hAnsi="Arial" w:cs="Arial"/>
          <w:sz w:val="24"/>
          <w:szCs w:val="24"/>
        </w:rPr>
        <w:t>Sulu.</w:t>
      </w:r>
      <w:r w:rsidR="007F59F6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4"/>
        <w:gridCol w:w="1969"/>
        <w:gridCol w:w="1969"/>
        <w:gridCol w:w="1971"/>
      </w:tblGrid>
      <w:tr w:rsidR="003F6FAF" w:rsidRPr="003C18DB" w:rsidTr="003F6FAF">
        <w:trPr>
          <w:trHeight w:val="300"/>
        </w:trPr>
        <w:tc>
          <w:tcPr>
            <w:tcW w:w="20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29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PH"/>
              </w:rPr>
              <w:t>AFFECTED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AF" w:rsidRPr="003C18DB" w:rsidRDefault="003F6FAF" w:rsidP="003C18DB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</w:p>
        </w:tc>
        <w:tc>
          <w:tcPr>
            <w:tcW w:w="296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FAF" w:rsidRPr="003C18DB" w:rsidRDefault="003F6FAF" w:rsidP="003C18DB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</w:p>
        </w:tc>
      </w:tr>
      <w:tr w:rsidR="003F6FAF" w:rsidRPr="003C18DB" w:rsidTr="003F6FAF">
        <w:trPr>
          <w:trHeight w:val="525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FAF" w:rsidRPr="003C18DB" w:rsidRDefault="003F6FAF" w:rsidP="003C18DB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  <w:t>Barangays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PH"/>
              </w:rPr>
              <w:t>PERSONS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  <w:t>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  <w:t>3,985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 w:eastAsia="en-PH"/>
              </w:rPr>
              <w:t>19,763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EF730D" w:rsidRDefault="003F6FAF" w:rsidP="003C18DB">
            <w:pPr>
              <w:jc w:val="both"/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  <w:lang w:val="en-PH" w:eastAsia="en-PH"/>
              </w:rPr>
            </w:pPr>
            <w:r w:rsidRPr="00EF730D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  <w:lang w:eastAsia="en-PH"/>
              </w:rPr>
              <w:t>Patikul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1,122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5,068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F6FAF" w:rsidRPr="00EF730D" w:rsidRDefault="003F6FAF" w:rsidP="003C18DB">
            <w:pPr>
              <w:jc w:val="both"/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  <w:lang w:val="en-PH" w:eastAsia="en-PH"/>
              </w:rPr>
            </w:pPr>
            <w:r w:rsidRPr="00EF730D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  <w:lang w:eastAsia="en-PH"/>
              </w:rPr>
              <w:t>Maimbung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1,321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en-PH" w:eastAsia="en-PH"/>
              </w:rPr>
              <w:t>6,099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EF730D" w:rsidRDefault="003F6FAF" w:rsidP="003C18DB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</w:pPr>
            <w:r w:rsidRPr="00EF730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  <w:t>Indanan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11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400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1744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EF730D" w:rsidRDefault="003F6FAF" w:rsidP="003C18DB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</w:pPr>
            <w:r w:rsidRPr="00EF730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  <w:t>Parang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13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1113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6678</w:t>
            </w:r>
          </w:p>
        </w:tc>
      </w:tr>
      <w:tr w:rsidR="003F6FAF" w:rsidRPr="003C18DB" w:rsidTr="003F6FAF">
        <w:trPr>
          <w:trHeight w:val="315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EF730D" w:rsidRDefault="003F6FAF" w:rsidP="003C18DB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</w:pPr>
            <w:r w:rsidRPr="00EF730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 w:eastAsia="en-PH"/>
              </w:rPr>
              <w:t>Panamao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29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FAF" w:rsidRPr="003C18DB" w:rsidRDefault="003F6FAF" w:rsidP="003C18D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</w:pPr>
            <w:r w:rsidRPr="003C18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PH" w:eastAsia="en-PH"/>
              </w:rPr>
              <w:t>174</w:t>
            </w:r>
          </w:p>
        </w:tc>
      </w:tr>
    </w:tbl>
    <w:p w:rsidR="000C390C" w:rsidRPr="00AE3F9B" w:rsidRDefault="000C390C" w:rsidP="003C18DB">
      <w:pPr>
        <w:shd w:val="clear" w:color="auto" w:fill="FFFFFF"/>
        <w:rPr>
          <w:rFonts w:ascii="Arial" w:hAnsi="Arial" w:cs="Arial"/>
          <w:i/>
          <w:iCs/>
          <w:color w:val="002060"/>
          <w:sz w:val="16"/>
          <w:szCs w:val="24"/>
        </w:rPr>
      </w:pPr>
      <w:bookmarkStart w:id="0" w:name="m_4507449806178404382__Number_of_Affecte"/>
      <w:bookmarkEnd w:id="0"/>
    </w:p>
    <w:p w:rsidR="001C4359" w:rsidRPr="00AE3F9B" w:rsidRDefault="001C4359" w:rsidP="001C4359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002060"/>
          <w:sz w:val="16"/>
          <w:szCs w:val="24"/>
        </w:rPr>
        <w:t>Source: DSWD-FO IX through coordination with PSWDO Sulu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color w:val="222222"/>
          <w:sz w:val="24"/>
          <w:szCs w:val="24"/>
        </w:rPr>
      </w:pPr>
    </w:p>
    <w:p w:rsidR="000C390C" w:rsidRPr="00AE3F9B" w:rsidRDefault="000C390C" w:rsidP="000C390C">
      <w:pPr>
        <w:rPr>
          <w:rFonts w:ascii="Arial" w:hAnsi="Arial" w:cs="Arial"/>
        </w:rPr>
      </w:pPr>
    </w:p>
    <w:p w:rsidR="001C4359" w:rsidRPr="006C6C71" w:rsidRDefault="000C390C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br w:type="page"/>
      </w:r>
      <w:bookmarkStart w:id="1" w:name="_GoBack"/>
      <w:bookmarkEnd w:id="1"/>
      <w:r w:rsidR="001C4359" w:rsidRPr="00AE3F9B">
        <w:rPr>
          <w:rFonts w:ascii="Arial" w:hAnsi="Arial" w:cs="Arial"/>
          <w:b/>
          <w:color w:val="002060"/>
          <w:sz w:val="28"/>
          <w:szCs w:val="24"/>
        </w:rPr>
        <w:lastRenderedPageBreak/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8152"/>
      </w:tblGrid>
      <w:tr w:rsidR="001C4359" w:rsidRPr="00AE3F9B" w:rsidTr="00EC232A">
        <w:trPr>
          <w:tblHeader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3C18DB">
        <w:tc>
          <w:tcPr>
            <w:tcW w:w="9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EF730D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09 September  2016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61C" w:rsidRPr="0077261C" w:rsidRDefault="0077261C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The PSWDO Sulu is continuously conducting assessment and profiling of affected families.</w:t>
            </w:r>
          </w:p>
          <w:p w:rsidR="00981B12" w:rsidRPr="00981B12" w:rsidRDefault="00981B12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>The PLGU Sulu and LGUs of the affected areas provided</w:t>
            </w: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</w:t>
            </w:r>
            <w:r w:rsidR="0077261C">
              <w:rPr>
                <w:rFonts w:ascii="Arial" w:hAnsi="Arial" w:cs="Arial"/>
                <w:color w:val="365F91" w:themeColor="accent1" w:themeShade="BF"/>
                <w:lang w:val="en-US"/>
              </w:rPr>
              <w:t>relief assistance to the affected families.</w:t>
            </w:r>
          </w:p>
          <w:p w:rsidR="006D2ABE" w:rsidRPr="00981B12" w:rsidRDefault="00981B12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>DSWD-FO IX</w:t>
            </w:r>
            <w:r w:rsidR="003C18DB" w:rsidRPr="00EF730D"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provided </w:t>
            </w:r>
            <w:r w:rsidRPr="00EF730D">
              <w:rPr>
                <w:rFonts w:ascii="Arial" w:hAnsi="Arial" w:cs="Arial"/>
                <w:color w:val="365F91" w:themeColor="accent1" w:themeShade="BF"/>
                <w:lang w:val="en-US"/>
              </w:rPr>
              <w:t>5,000 family food packs amounting to P1.8M</w:t>
            </w: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as </w:t>
            </w:r>
            <w:r w:rsidR="003C18DB" w:rsidRPr="00EF730D"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augmentation support </w:t>
            </w: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>to PSWDO Sulu, which was received on Sept. 6, 2016.</w:t>
            </w:r>
          </w:p>
          <w:p w:rsidR="00981B12" w:rsidRPr="00981B12" w:rsidRDefault="0077261C" w:rsidP="00981B1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DSWD-FO IX is continuously monitoring and coordinating with the PSWDO Sulu for updates and request for additional augmentation support.</w:t>
            </w:r>
          </w:p>
        </w:tc>
      </w:tr>
      <w:tr w:rsidR="003C18DB" w:rsidRPr="00AE3F9B" w:rsidTr="0077261C">
        <w:trPr>
          <w:trHeight w:val="80"/>
        </w:trPr>
        <w:tc>
          <w:tcPr>
            <w:tcW w:w="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DB" w:rsidRPr="00AE3F9B" w:rsidRDefault="003C18DB" w:rsidP="003C18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lang w:val="en-US"/>
              </w:rPr>
            </w:pP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DB" w:rsidRPr="00AE3F9B" w:rsidRDefault="003C18DB" w:rsidP="007726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lang w:val="en-US"/>
              </w:rPr>
            </w:pPr>
          </w:p>
        </w:tc>
      </w:tr>
    </w:tbl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3C417E" w:rsidRDefault="003C417E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Pr="00681F81">
        <w:rPr>
          <w:rFonts w:ascii="Arial" w:hAnsi="Arial" w:cs="Arial"/>
          <w:b/>
          <w:color w:val="222222"/>
          <w:sz w:val="24"/>
          <w:szCs w:val="24"/>
        </w:rPr>
        <w:t>08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2C7BB0" w:rsidRPr="00AE3F9B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843"/>
        <w:gridCol w:w="1809"/>
        <w:gridCol w:w="843"/>
        <w:gridCol w:w="1141"/>
        <w:gridCol w:w="1194"/>
        <w:gridCol w:w="1299"/>
        <w:gridCol w:w="1181"/>
        <w:gridCol w:w="1875"/>
      </w:tblGrid>
      <w:tr w:rsidR="002C7BB0" w:rsidRPr="00536B3A" w:rsidTr="00040560">
        <w:trPr>
          <w:trHeight w:val="387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FIELD OFFICE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STANDBY FUNDS</w:t>
            </w:r>
          </w:p>
        </w:tc>
        <w:tc>
          <w:tcPr>
            <w:tcW w:w="56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STOCKPILE 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STANDBY FUNDS AND STOCKPILE</w:t>
            </w:r>
          </w:p>
        </w:tc>
      </w:tr>
      <w:tr w:rsidR="002C7BB0" w:rsidRPr="00536B3A" w:rsidTr="00040560">
        <w:trPr>
          <w:trHeight w:val="447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Family Food Packs 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Non-Food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Sub-Total (Food and NFIs)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BB0" w:rsidRPr="00536B3A" w:rsidTr="00040560">
        <w:trPr>
          <w:trHeight w:val="313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7BB0" w:rsidRPr="00536B3A" w:rsidTr="00040560">
        <w:trPr>
          <w:trHeight w:val="31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C7BB0" w:rsidRPr="00536B3A" w:rsidRDefault="002C7BB0" w:rsidP="0004056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816,357,073.81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98,211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38,483,493.32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67,424,393.68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93,385,636.16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160,810,029.84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1,015,650,596.97</w:t>
            </w:r>
          </w:p>
        </w:tc>
      </w:tr>
      <w:tr w:rsidR="002C7BB0" w:rsidRPr="00536B3A" w:rsidTr="00040560">
        <w:trPr>
          <w:trHeight w:val="31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CO*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814,778,621.62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814,778,621.62</w:t>
            </w:r>
          </w:p>
        </w:tc>
      </w:tr>
      <w:tr w:rsidR="002C7BB0" w:rsidRPr="00536B3A" w:rsidTr="00040560">
        <w:trPr>
          <w:trHeight w:val="31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NROC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973.32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113.68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096.16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521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209.84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191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</w:t>
            </w:r>
            <w:r w:rsidRPr="00F25FB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183.16</w:t>
            </w:r>
          </w:p>
        </w:tc>
      </w:tr>
      <w:tr w:rsidR="002C7BB0" w:rsidRPr="00536B3A" w:rsidTr="00040560">
        <w:trPr>
          <w:trHeight w:val="31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1,578,452.19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18,182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6,545,520.00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324,280.00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964,540.00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1,288,820.00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BB0" w:rsidRPr="00536B3A" w:rsidRDefault="002C7BB0" w:rsidP="00040560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36B3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9,412,792.19</w:t>
            </w:r>
          </w:p>
        </w:tc>
      </w:tr>
    </w:tbl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>*Available Quick Response Fund (QRF) at the DSWD-Central Office</w:t>
      </w: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2C7BB0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Rodel Cabaddu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The Disaster Response Operations Monitoring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6C6C71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56" w:rsidRDefault="00E70F56" w:rsidP="00E14EDF">
      <w:r>
        <w:separator/>
      </w:r>
    </w:p>
  </w:endnote>
  <w:endnote w:type="continuationSeparator" w:id="0">
    <w:p w:rsidR="00E70F56" w:rsidRDefault="00E70F56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77261C">
      <w:rPr>
        <w:sz w:val="16"/>
        <w:szCs w:val="16"/>
      </w:rPr>
      <w:t>#3</w:t>
    </w:r>
    <w:r w:rsidR="00F4167D">
      <w:rPr>
        <w:sz w:val="16"/>
        <w:szCs w:val="16"/>
      </w:rPr>
      <w:t xml:space="preserve"> on the Armed C</w:t>
    </w:r>
    <w:r w:rsidR="0077261C">
      <w:rPr>
        <w:sz w:val="16"/>
        <w:szCs w:val="16"/>
      </w:rPr>
      <w:t>onflict in Patikul, Sulu as of 9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77261C">
      <w:rPr>
        <w:sz w:val="16"/>
        <w:szCs w:val="16"/>
      </w:rPr>
      <w:t>11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6C6C71">
          <w:rPr>
            <w:noProof/>
            <w:sz w:val="16"/>
            <w:szCs w:val="16"/>
          </w:rPr>
          <w:t>1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56" w:rsidRDefault="00E70F56" w:rsidP="00E14EDF">
      <w:r>
        <w:separator/>
      </w:r>
    </w:p>
  </w:footnote>
  <w:footnote w:type="continuationSeparator" w:id="0">
    <w:p w:rsidR="00E70F56" w:rsidRDefault="00E70F56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9BA"/>
    <w:rsid w:val="00034B54"/>
    <w:rsid w:val="00037E85"/>
    <w:rsid w:val="00040CE7"/>
    <w:rsid w:val="00042818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908FA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799E"/>
    <w:rsid w:val="005B0BD8"/>
    <w:rsid w:val="005B37F1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1068"/>
    <w:rsid w:val="00961BB2"/>
    <w:rsid w:val="00962277"/>
    <w:rsid w:val="009638BB"/>
    <w:rsid w:val="009638F0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24BD"/>
    <w:rsid w:val="00A62918"/>
    <w:rsid w:val="00A64961"/>
    <w:rsid w:val="00A678AC"/>
    <w:rsid w:val="00A70C2A"/>
    <w:rsid w:val="00A72DCA"/>
    <w:rsid w:val="00A7370D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60F1"/>
    <w:rsid w:val="00ED11E2"/>
    <w:rsid w:val="00ED1EE6"/>
    <w:rsid w:val="00ED4340"/>
    <w:rsid w:val="00ED59E2"/>
    <w:rsid w:val="00ED5D26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28AF2-5843-4BC6-BDB5-197BE69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63C6-CD4C-4123-8DD8-E147BEEF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Rodel V. Cabaddu</cp:lastModifiedBy>
  <cp:revision>2</cp:revision>
  <cp:lastPrinted>2016-08-22T14:01:00Z</cp:lastPrinted>
  <dcterms:created xsi:type="dcterms:W3CDTF">2016-09-09T15:43:00Z</dcterms:created>
  <dcterms:modified xsi:type="dcterms:W3CDTF">2016-09-09T15:43:00Z</dcterms:modified>
</cp:coreProperties>
</file>