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DSWD DROMIC Report #3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on the Armed Conflict in Lanao del Sur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22 November 2016, 7PM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firstLine="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clash between MILF Group and residents of Barangay Bualan, Balindong in Lanao del Sur started on 12 November 2016 has resulted to more families fleeing encounter areas resulting to increase in affected families from different neighboring Barangays.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Number of Affected Families / Persons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color w:val="0070c0"/>
          <w:sz w:val="24"/>
          <w:szCs w:val="24"/>
          <w:rtl w:val="0"/>
        </w:rPr>
        <w:t xml:space="preserve">This report is a rectification from DSWD FO XII after having had a thorough validation.  Per actual validation conducted, there were only </w:t>
      </w:r>
      <w:r w:rsidDel="00000000" w:rsidR="00000000" w:rsidRPr="00000000">
        <w:rPr>
          <w:rFonts w:ascii="Arial" w:cs="Arial" w:eastAsia="Arial" w:hAnsi="Arial"/>
          <w:b w:val="1"/>
          <w:color w:val="0070c0"/>
          <w:sz w:val="24"/>
          <w:szCs w:val="24"/>
          <w:rtl w:val="0"/>
        </w:rPr>
        <w:t xml:space="preserve">422</w:t>
      </w:r>
      <w:r w:rsidDel="00000000" w:rsidR="00000000" w:rsidRPr="00000000">
        <w:rPr>
          <w:rFonts w:ascii="Arial" w:cs="Arial" w:eastAsia="Arial" w:hAnsi="Arial"/>
          <w:color w:val="0070c0"/>
          <w:sz w:val="24"/>
          <w:szCs w:val="24"/>
          <w:rtl w:val="0"/>
        </w:rPr>
        <w:t xml:space="preserve"> families or </w:t>
      </w:r>
      <w:r w:rsidDel="00000000" w:rsidR="00000000" w:rsidRPr="00000000">
        <w:rPr>
          <w:rFonts w:ascii="Arial" w:cs="Arial" w:eastAsia="Arial" w:hAnsi="Arial"/>
          <w:b w:val="1"/>
          <w:color w:val="0070c0"/>
          <w:sz w:val="24"/>
          <w:szCs w:val="24"/>
          <w:rtl w:val="0"/>
        </w:rPr>
        <w:t xml:space="preserve">2,110</w:t>
      </w:r>
      <w:r w:rsidDel="00000000" w:rsidR="00000000" w:rsidRPr="00000000">
        <w:rPr>
          <w:rFonts w:ascii="Arial" w:cs="Arial" w:eastAsia="Arial" w:hAnsi="Arial"/>
          <w:color w:val="0070c0"/>
          <w:sz w:val="24"/>
          <w:szCs w:val="24"/>
          <w:rtl w:val="0"/>
        </w:rPr>
        <w:t xml:space="preserve"> persons affected in the said incident, as opposed to</w:t>
      </w:r>
      <w:r w:rsidDel="00000000" w:rsidR="00000000" w:rsidRPr="00000000">
        <w:rPr>
          <w:rFonts w:ascii="Arial" w:cs="Arial" w:eastAsia="Arial" w:hAnsi="Arial"/>
          <w:b w:val="1"/>
          <w:sz w:val="24"/>
          <w:szCs w:val="24"/>
          <w:rtl w:val="0"/>
        </w:rPr>
        <w:t xml:space="preserve"> 1,300 families </w:t>
      </w:r>
      <w:r w:rsidDel="00000000" w:rsidR="00000000" w:rsidRPr="00000000">
        <w:rPr>
          <w:rFonts w:ascii="Arial" w:cs="Arial" w:eastAsia="Arial" w:hAnsi="Arial"/>
          <w:sz w:val="24"/>
          <w:szCs w:val="24"/>
          <w:rtl w:val="0"/>
        </w:rPr>
        <w:t xml:space="preserve">or</w:t>
      </w:r>
      <w:r w:rsidDel="00000000" w:rsidR="00000000" w:rsidRPr="00000000">
        <w:rPr>
          <w:rFonts w:ascii="Arial" w:cs="Arial" w:eastAsia="Arial" w:hAnsi="Arial"/>
          <w:b w:val="1"/>
          <w:sz w:val="24"/>
          <w:szCs w:val="24"/>
          <w:rtl w:val="0"/>
        </w:rPr>
        <w:t xml:space="preserve"> 6,500 persons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3 barangays in Balindong, Lanao del Sur, as previously reflected in their second report.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tbl>
      <w:tblPr>
        <w:tblStyle w:val="Table1"/>
        <w:tblW w:w="9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3"/>
        <w:gridCol w:w="2888"/>
        <w:gridCol w:w="2120"/>
        <w:gridCol w:w="2331"/>
        <w:tblGridChange w:id="0">
          <w:tblGrid>
            <w:gridCol w:w="2623"/>
            <w:gridCol w:w="2888"/>
            <w:gridCol w:w="2120"/>
            <w:gridCol w:w="2331"/>
          </w:tblGrid>
        </w:tblGridChange>
      </w:tblGrid>
      <w:tr>
        <w:tc>
          <w:tcPr>
            <w:vMerge w:val="restart"/>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REGION / PROVINCE  / MUNICIPALITY</w:t>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AFFECTED</w:t>
            </w:r>
          </w:p>
        </w:tc>
      </w:tr>
      <w:tr>
        <w:tc>
          <w:tcPr>
            <w:vMerge w:val="continue"/>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BARANGAYS</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FAMILIES</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w:t>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422</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2,110</w:t>
            </w:r>
          </w:p>
        </w:tc>
      </w:tr>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ARMM</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422</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2,110</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Lanao del Sur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Balindong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422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2,110</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i w:val="1"/>
          <w:color w:val="002060"/>
          <w:sz w:val="16"/>
          <w:szCs w:val="16"/>
        </w:rPr>
      </w:pPr>
      <w:r w:rsidDel="00000000" w:rsidR="00000000" w:rsidRPr="00000000">
        <w:rPr>
          <w:rFonts w:ascii="Arial" w:cs="Arial" w:eastAsia="Arial" w:hAnsi="Arial"/>
          <w:i w:val="1"/>
          <w:color w:val="002060"/>
          <w:sz w:val="16"/>
          <w:szCs w:val="16"/>
          <w:rtl w:val="0"/>
        </w:rPr>
        <w:t xml:space="preserve">Source: DSWD-FO XII</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Displaced Families / Persons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422 families</w:t>
      </w:r>
      <w:r w:rsidDel="00000000" w:rsidR="00000000" w:rsidRPr="00000000">
        <w:rPr>
          <w:rFonts w:ascii="Arial" w:cs="Arial" w:eastAsia="Arial" w:hAnsi="Arial"/>
          <w:b w:val="1"/>
          <w:sz w:val="24"/>
          <w:szCs w:val="24"/>
          <w:rtl w:val="0"/>
        </w:rPr>
        <w:t xml:space="preserve"> or </w:t>
      </w:r>
      <w:r w:rsidDel="00000000" w:rsidR="00000000" w:rsidRPr="00000000">
        <w:rPr>
          <w:rFonts w:ascii="Arial" w:cs="Arial" w:eastAsia="Arial" w:hAnsi="Arial"/>
          <w:b w:val="1"/>
          <w:color w:val="0070c0"/>
          <w:sz w:val="24"/>
          <w:szCs w:val="24"/>
          <w:rtl w:val="0"/>
        </w:rPr>
        <w:t xml:space="preserve">2,110 persons</w:t>
      </w:r>
      <w:r w:rsidDel="00000000" w:rsidR="00000000" w:rsidRPr="00000000">
        <w:rPr>
          <w:rFonts w:ascii="Arial" w:cs="Arial" w:eastAsia="Arial" w:hAnsi="Arial"/>
          <w:sz w:val="24"/>
          <w:szCs w:val="24"/>
          <w:rtl w:val="0"/>
        </w:rPr>
        <w:t xml:space="preserve"> were displaced and are currently staying with their relatives and friends. The four (4) evacuation centers were already closed after the evacuees opted to stay with their relatives.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tbl>
      <w:tblPr>
        <w:tblStyle w:val="Table2"/>
        <w:tblW w:w="1007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0"/>
        <w:gridCol w:w="688"/>
        <w:gridCol w:w="553"/>
        <w:gridCol w:w="552"/>
        <w:gridCol w:w="552"/>
        <w:gridCol w:w="691"/>
        <w:gridCol w:w="550"/>
        <w:gridCol w:w="691"/>
        <w:gridCol w:w="552"/>
        <w:gridCol w:w="828"/>
        <w:gridCol w:w="558"/>
        <w:gridCol w:w="691"/>
        <w:gridCol w:w="552"/>
        <w:gridCol w:w="828"/>
        <w:gridCol w:w="544"/>
        <w:tblGridChange w:id="0">
          <w:tblGrid>
            <w:gridCol w:w="1240"/>
            <w:gridCol w:w="688"/>
            <w:gridCol w:w="553"/>
            <w:gridCol w:w="552"/>
            <w:gridCol w:w="552"/>
            <w:gridCol w:w="691"/>
            <w:gridCol w:w="550"/>
            <w:gridCol w:w="691"/>
            <w:gridCol w:w="552"/>
            <w:gridCol w:w="828"/>
            <w:gridCol w:w="558"/>
            <w:gridCol w:w="691"/>
            <w:gridCol w:w="552"/>
            <w:gridCol w:w="828"/>
            <w:gridCol w:w="544"/>
          </w:tblGrid>
        </w:tblGridChange>
      </w:tblGrid>
      <w:tr>
        <w:trPr>
          <w:trHeight w:val="20" w:hRule="atLeast"/>
        </w:trPr>
        <w:tc>
          <w:tcPr>
            <w:vMerge w:val="restart"/>
            <w:shd w:fill="bfbfbf" w:val="cle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REGION / PROVINCE / MUNICIPALITY </w:t>
            </w:r>
          </w:p>
        </w:tc>
        <w:tc>
          <w:tcPr>
            <w:gridSpan w:val="2"/>
            <w:vMerge w:val="restart"/>
            <w:shd w:fill="bfbfbf"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NUMBER OF EVACUATION CENTERS (ECs) </w:t>
            </w:r>
          </w:p>
        </w:tc>
        <w:tc>
          <w:tcPr>
            <w:gridSpan w:val="8"/>
            <w:shd w:fill="bfbfbf" w:val="cle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NUMBER OF DISPLACED </w:t>
            </w:r>
          </w:p>
        </w:tc>
        <w:tc>
          <w:tcPr>
            <w:gridSpan w:val="4"/>
            <w:shd w:fill="bfbfbf" w:val="cle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TOTAL DISPLACED</w:t>
            </w:r>
          </w:p>
        </w:tc>
      </w:tr>
      <w:tr>
        <w:trPr>
          <w:trHeight w:val="20" w:hRule="atLeast"/>
        </w:trPr>
        <w:tc>
          <w:tcPr>
            <w:vMerge w:val="continue"/>
            <w:shd w:fill="bfbfbf"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sz w:val="16"/>
                <w:szCs w:val="16"/>
              </w:rPr>
            </w:pPr>
            <w:r w:rsidDel="00000000" w:rsidR="00000000" w:rsidRPr="00000000">
              <w:rPr>
                <w:rtl w:val="0"/>
              </w:rPr>
            </w:r>
          </w:p>
        </w:tc>
        <w:tc>
          <w:tcPr>
            <w:gridSpan w:val="2"/>
            <w:vMerge w:val="continue"/>
            <w:shd w:fill="bfbfbf"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sz w:val="16"/>
                <w:szCs w:val="16"/>
              </w:rPr>
            </w:pPr>
            <w:r w:rsidDel="00000000" w:rsidR="00000000" w:rsidRPr="00000000">
              <w:rPr>
                <w:rtl w:val="0"/>
              </w:rPr>
            </w:r>
          </w:p>
        </w:tc>
        <w:tc>
          <w:tcPr>
            <w:gridSpan w:val="4"/>
            <w:shd w:fill="bfbfbf" w:val="cle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INSIDE ECs </w:t>
            </w:r>
          </w:p>
        </w:tc>
        <w:tc>
          <w:tcPr>
            <w:gridSpan w:val="4"/>
            <w:shd w:fill="bfbfbf" w:val="cle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OUTSIDE ECs </w:t>
            </w:r>
          </w:p>
        </w:tc>
        <w:tc>
          <w:tcPr>
            <w:gridSpan w:val="2"/>
            <w:shd w:fill="bfbfbf" w:val="cle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Families </w:t>
            </w:r>
          </w:p>
        </w:tc>
        <w:tc>
          <w:tcPr>
            <w:gridSpan w:val="2"/>
            <w:shd w:fill="bfbfbf"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Persons </w:t>
            </w:r>
          </w:p>
        </w:tc>
      </w:tr>
      <w:tr>
        <w:trPr>
          <w:trHeight w:val="20" w:hRule="atLeast"/>
        </w:trPr>
        <w:tc>
          <w:tcPr>
            <w:vMerge w:val="continue"/>
            <w:shd w:fill="bfbfbf"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sz w:val="16"/>
                <w:szCs w:val="16"/>
              </w:rPr>
            </w:pPr>
            <w:r w:rsidDel="00000000" w:rsidR="00000000" w:rsidRPr="00000000">
              <w:rPr>
                <w:rtl w:val="0"/>
              </w:rPr>
            </w:r>
          </w:p>
        </w:tc>
        <w:tc>
          <w:tcPr>
            <w:gridSpan w:val="2"/>
            <w:vMerge w:val="continue"/>
            <w:shd w:fill="bfbfbf"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sz w:val="16"/>
                <w:szCs w:val="16"/>
              </w:rPr>
            </w:pPr>
            <w:r w:rsidDel="00000000" w:rsidR="00000000" w:rsidRPr="00000000">
              <w:rPr>
                <w:rtl w:val="0"/>
              </w:rPr>
            </w:r>
          </w:p>
        </w:tc>
        <w:tc>
          <w:tcPr>
            <w:gridSpan w:val="2"/>
            <w:shd w:fill="bfbfbf"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Families </w:t>
            </w:r>
          </w:p>
        </w:tc>
        <w:tc>
          <w:tcPr>
            <w:gridSpan w:val="2"/>
            <w:shd w:fill="bfbfbf"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Persons </w:t>
            </w:r>
          </w:p>
        </w:tc>
        <w:tc>
          <w:tcPr>
            <w:gridSpan w:val="2"/>
            <w:shd w:fill="bfbfbf"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Families </w:t>
            </w:r>
          </w:p>
        </w:tc>
        <w:tc>
          <w:tcPr>
            <w:gridSpan w:val="2"/>
            <w:shd w:fill="bfbfbf" w:val="cle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Persons </w:t>
            </w:r>
          </w:p>
        </w:tc>
        <w:tc>
          <w:tcPr>
            <w:gridSpan w:val="2"/>
            <w:shd w:fill="bfbfbf"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Total Families </w:t>
            </w:r>
          </w:p>
        </w:tc>
        <w:tc>
          <w:tcPr>
            <w:gridSpan w:val="2"/>
            <w:shd w:fill="bfbfbf"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Total Persons </w:t>
            </w:r>
          </w:p>
        </w:tc>
      </w:tr>
      <w:tr>
        <w:trPr>
          <w:trHeight w:val="20" w:hRule="atLeast"/>
        </w:trPr>
        <w:tc>
          <w:tcPr>
            <w:vMerge w:val="continue"/>
            <w:shd w:fill="bfbfbf"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sz w:val="16"/>
                <w:szCs w:val="16"/>
              </w:rPr>
            </w:pPr>
            <w:r w:rsidDel="00000000" w:rsidR="00000000" w:rsidRPr="00000000">
              <w:rPr>
                <w:rtl w:val="0"/>
              </w:rPr>
            </w:r>
          </w:p>
        </w:tc>
        <w:tc>
          <w:tcPr>
            <w:shd w:fill="bfbfbf"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c>
          <w:tcPr>
            <w:shd w:fill="bfbfbf"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CUM </w:t>
            </w:r>
          </w:p>
        </w:tc>
        <w:tc>
          <w:tcPr>
            <w:shd w:fill="bfbfbf"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 NOW </w:t>
            </w:r>
          </w:p>
        </w:tc>
      </w:tr>
      <w:tr>
        <w:trPr>
          <w:trHeight w:val="20" w:hRule="atLeast"/>
        </w:trPr>
        <w:tc>
          <w:tcPr>
            <w:shd w:fill="deebf6"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right="57"/>
              <w:contextualSpacing w:val="0"/>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GRAND TOTAL</w:t>
            </w:r>
          </w:p>
        </w:tc>
        <w:tc>
          <w:tcPr>
            <w:shd w:fill="deebf6" w:val="cle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w:t>
            </w:r>
          </w:p>
        </w:tc>
        <w:tc>
          <w:tcPr>
            <w:shd w:fill="deebf6"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eebf6" w:val="cle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306</w:t>
            </w:r>
          </w:p>
        </w:tc>
        <w:tc>
          <w:tcPr>
            <w:shd w:fill="deebf6"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eebf6"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1,530</w:t>
            </w:r>
          </w:p>
        </w:tc>
        <w:tc>
          <w:tcPr>
            <w:shd w:fill="deebf6"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eebf6"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994</w:t>
            </w:r>
          </w:p>
        </w:tc>
        <w:tc>
          <w:tcPr>
            <w:shd w:fill="deebf6"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deebf6"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4,970</w:t>
            </w:r>
          </w:p>
        </w:tc>
        <w:tc>
          <w:tcPr>
            <w:shd w:fill="deebf6"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c>
          <w:tcPr>
            <w:shd w:fill="deebf6"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1,300</w:t>
            </w:r>
          </w:p>
        </w:tc>
        <w:tc>
          <w:tcPr>
            <w:shd w:fill="deebf6"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deebf6"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6,500</w:t>
            </w:r>
          </w:p>
        </w:tc>
        <w:tc>
          <w:tcPr>
            <w:shd w:fill="deebf6"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r>
      <w:tr>
        <w:trPr>
          <w:trHeight w:val="20" w:hRule="atLeast"/>
        </w:trPr>
        <w:tc>
          <w:tcPr>
            <w:shd w:fill="d9d9d9"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ARMM</w:t>
            </w:r>
          </w:p>
        </w:tc>
        <w:tc>
          <w:tcPr>
            <w:shd w:fill="d9d9d9"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w:t>
            </w:r>
          </w:p>
        </w:tc>
        <w:tc>
          <w:tcPr>
            <w:shd w:fill="d9d9d9"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9d9d9"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306</w:t>
            </w:r>
          </w:p>
        </w:tc>
        <w:tc>
          <w:tcPr>
            <w:shd w:fill="d9d9d9"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9d9d9" w:val="cle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1,530</w:t>
            </w:r>
          </w:p>
        </w:tc>
        <w:tc>
          <w:tcPr>
            <w:shd w:fill="d9d9d9"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d9d9d9"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994</w:t>
            </w:r>
          </w:p>
        </w:tc>
        <w:tc>
          <w:tcPr>
            <w:shd w:fill="d9d9d9"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d9d9d9"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4,970</w:t>
            </w:r>
          </w:p>
        </w:tc>
        <w:tc>
          <w:tcPr>
            <w:shd w:fill="d9d9d9"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c>
          <w:tcPr>
            <w:shd w:fill="d9d9d9"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1,300</w:t>
            </w:r>
          </w:p>
        </w:tc>
        <w:tc>
          <w:tcPr>
            <w:shd w:fill="d9d9d9"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d9d9d9"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6,500</w:t>
            </w:r>
          </w:p>
        </w:tc>
        <w:tc>
          <w:tcPr>
            <w:shd w:fill="d9d9d9"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r>
      <w:tr>
        <w:trPr>
          <w:trHeight w:val="20" w:hRule="atLeast"/>
        </w:trPr>
        <w:tc>
          <w:tcPr>
            <w:shd w:fill="ffffff"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Lanao del Sur</w:t>
            </w:r>
          </w:p>
        </w:tc>
        <w:tc>
          <w:tcPr>
            <w:shd w:fill="ffffff"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w:t>
            </w:r>
          </w:p>
        </w:tc>
        <w:tc>
          <w:tcPr>
            <w:shd w:fill="ffffff"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ffffff"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306</w:t>
            </w:r>
          </w:p>
        </w:tc>
        <w:tc>
          <w:tcPr>
            <w:shd w:fill="ffffff"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ffffff"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1,530</w:t>
            </w:r>
          </w:p>
        </w:tc>
        <w:tc>
          <w:tcPr>
            <w:shd w:fill="ffffff"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w:t>
            </w:r>
          </w:p>
        </w:tc>
        <w:tc>
          <w:tcPr>
            <w:shd w:fill="ffffff"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994</w:t>
            </w:r>
          </w:p>
        </w:tc>
        <w:tc>
          <w:tcPr>
            <w:shd w:fill="ffffff" w:val="cle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ffffff"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4,970</w:t>
            </w:r>
          </w:p>
        </w:tc>
        <w:tc>
          <w:tcPr>
            <w:shd w:fill="ffffff"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c>
          <w:tcPr>
            <w:shd w:fill="ffffff" w:val="clea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1,300</w:t>
            </w:r>
          </w:p>
        </w:tc>
        <w:tc>
          <w:tcPr>
            <w:shd w:fill="ffffff"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422</w:t>
            </w:r>
          </w:p>
        </w:tc>
        <w:tc>
          <w:tcPr>
            <w:shd w:fill="ffffff"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6,500</w:t>
            </w:r>
          </w:p>
        </w:tc>
        <w:tc>
          <w:tcPr>
            <w:shd w:fill="ffffff" w:val="cle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2,110</w:t>
            </w:r>
          </w:p>
        </w:tc>
      </w:tr>
      <w:tr>
        <w:trPr>
          <w:trHeight w:val="20" w:hRule="atLeast"/>
        </w:trPr>
        <w:tc>
          <w:tcPr>
            <w:shd w:fill="ffffff"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right="57"/>
              <w:contextualSpacing w:val="0"/>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Balindong</w:t>
            </w:r>
          </w:p>
        </w:tc>
        <w:tc>
          <w:tcPr>
            <w:shd w:fill="ffffff"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4</w:t>
            </w:r>
          </w:p>
        </w:tc>
        <w:tc>
          <w:tcPr>
            <w:shd w:fill="ffffff"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w:t>
            </w:r>
          </w:p>
        </w:tc>
        <w:tc>
          <w:tcPr>
            <w:shd w:fill="ffffff" w:val="cle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306</w:t>
            </w:r>
          </w:p>
        </w:tc>
        <w:tc>
          <w:tcPr>
            <w:shd w:fill="ffffff" w:val="cle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w:t>
            </w:r>
          </w:p>
        </w:tc>
        <w:tc>
          <w:tcPr>
            <w:shd w:fill="ffffff" w:val="cle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1,530</w:t>
            </w:r>
          </w:p>
        </w:tc>
        <w:tc>
          <w:tcPr>
            <w:shd w:fill="ffffff" w:val="clea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w:t>
            </w:r>
          </w:p>
        </w:tc>
        <w:tc>
          <w:tcPr>
            <w:shd w:fill="ffffff" w:val="cle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994</w:t>
            </w:r>
          </w:p>
        </w:tc>
        <w:tc>
          <w:tcPr>
            <w:shd w:fill="ffffff" w:val="cle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422</w:t>
            </w:r>
          </w:p>
        </w:tc>
        <w:tc>
          <w:tcPr>
            <w:shd w:fill="ffffff" w:val="cle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4,970</w:t>
            </w:r>
          </w:p>
        </w:tc>
        <w:tc>
          <w:tcPr>
            <w:shd w:fill="ffffff" w:val="cle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2,110</w:t>
            </w:r>
          </w:p>
        </w:tc>
        <w:tc>
          <w:tcPr>
            <w:shd w:fill="ffffff" w:val="cle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1,300</w:t>
            </w:r>
          </w:p>
        </w:tc>
        <w:tc>
          <w:tcPr>
            <w:shd w:fill="ffffff" w:val="cle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422</w:t>
            </w:r>
          </w:p>
        </w:tc>
        <w:tc>
          <w:tcPr>
            <w:shd w:fill="ffffff"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6,500</w:t>
            </w:r>
          </w:p>
        </w:tc>
        <w:tc>
          <w:tcPr>
            <w:shd w:fill="ffffff"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ind w:right="57"/>
              <w:contextualSpacing w:val="0"/>
              <w:jc w:val="right"/>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2,110</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w:cs="Arial" w:eastAsia="Arial" w:hAnsi="Arial"/>
          <w:i w:val="1"/>
          <w:color w:val="002060"/>
          <w:sz w:val="16"/>
          <w:szCs w:val="16"/>
        </w:rPr>
      </w:pPr>
      <w:r w:rsidDel="00000000" w:rsidR="00000000" w:rsidRPr="00000000">
        <w:rPr>
          <w:rFonts w:ascii="Arial" w:cs="Arial" w:eastAsia="Arial" w:hAnsi="Arial"/>
          <w:i w:val="1"/>
          <w:color w:val="002060"/>
          <w:sz w:val="16"/>
          <w:szCs w:val="16"/>
          <w:rtl w:val="0"/>
        </w:rPr>
        <w:t xml:space="preserve">Source: DSWD-FO XII</w:t>
      </w:r>
    </w:p>
    <w:p w:rsidR="00000000" w:rsidDel="00000000" w:rsidP="00000000" w:rsidRDefault="00000000" w:rsidRPr="00000000" w14:paraId="000000A6">
      <w:pPr>
        <w:pStyle w:val="Heading1"/>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w:t>
      </w:r>
      <w:r w:rsidDel="00000000" w:rsidR="00000000" w:rsidRPr="00000000">
        <w:rPr>
          <w:rFonts w:ascii="Arial" w:cs="Arial" w:eastAsia="Arial" w:hAnsi="Arial"/>
          <w:b w:val="1"/>
          <w:color w:val="323e4f"/>
          <w:sz w:val="28"/>
          <w:szCs w:val="28"/>
          <w:rtl w:val="0"/>
        </w:rPr>
        <w:t xml:space="preserve">Stockpiles and Standby Funds</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Central Office (CO), affected DSWD FO XII, and National Resource Operations Center (NROC) have a total stockpile and standby funds amounting to </w:t>
      </w:r>
      <w:r w:rsidDel="00000000" w:rsidR="00000000" w:rsidRPr="00000000">
        <w:rPr>
          <w:rFonts w:ascii="Arial" w:cs="Arial" w:eastAsia="Arial" w:hAnsi="Arial"/>
          <w:b w:val="1"/>
          <w:color w:val="0070c0"/>
          <w:sz w:val="24"/>
          <w:szCs w:val="24"/>
          <w:rtl w:val="0"/>
        </w:rPr>
        <w:t xml:space="preserve">₱597,013,252.87 </w:t>
      </w:r>
      <w:r w:rsidDel="00000000" w:rsidR="00000000" w:rsidRPr="00000000">
        <w:rPr>
          <w:rFonts w:ascii="Arial" w:cs="Arial" w:eastAsia="Arial" w:hAnsi="Arial"/>
          <w:sz w:val="24"/>
          <w:szCs w:val="24"/>
          <w:rtl w:val="0"/>
        </w:rPr>
        <w:t xml:space="preserve">with breakdown as follows: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rFonts w:ascii="Arial" w:cs="Arial" w:eastAsia="Arial" w:hAnsi="Arial"/>
          <w:sz w:val="24"/>
          <w:szCs w:val="24"/>
        </w:rPr>
      </w:pPr>
      <w:r w:rsidDel="00000000" w:rsidR="00000000" w:rsidRPr="00000000">
        <w:rPr>
          <w:rFonts w:ascii="Arial" w:cs="Arial" w:eastAsia="Arial" w:hAnsi="Arial"/>
          <w:b w:val="1"/>
          <w:color w:val="000000"/>
          <w:sz w:val="24"/>
          <w:szCs w:val="24"/>
          <w:highlight w:val="white"/>
          <w:rtl w:val="0"/>
        </w:rPr>
        <w:t xml:space="preserve">Standby Funds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color w:val="000000"/>
          <w:sz w:val="24"/>
          <w:szCs w:val="24"/>
          <w:highlight w:val="white"/>
        </w:rPr>
      </w:pPr>
      <w:r w:rsidDel="00000000" w:rsidR="00000000" w:rsidRPr="00000000">
        <w:rPr>
          <w:rFonts w:ascii="Arial" w:cs="Arial" w:eastAsia="Arial" w:hAnsi="Arial"/>
          <w:b w:val="0"/>
          <w:color w:val="000000"/>
          <w:sz w:val="24"/>
          <w:szCs w:val="24"/>
          <w:highlight w:val="white"/>
          <w:rtl w:val="0"/>
        </w:rPr>
        <w:t xml:space="preserve">There are a total of </w:t>
      </w:r>
      <w:r w:rsidDel="00000000" w:rsidR="00000000" w:rsidRPr="00000000">
        <w:rPr>
          <w:rFonts w:ascii="Arial" w:cs="Arial" w:eastAsia="Arial" w:hAnsi="Arial"/>
          <w:b w:val="1"/>
          <w:color w:val="0070c0"/>
          <w:sz w:val="24"/>
          <w:szCs w:val="24"/>
          <w:highlight w:val="white"/>
          <w:rtl w:val="0"/>
        </w:rPr>
        <w:t xml:space="preserve">₱</w:t>
      </w:r>
      <w:r w:rsidDel="00000000" w:rsidR="00000000" w:rsidRPr="00000000">
        <w:rPr>
          <w:rFonts w:ascii="Arial" w:cs="Arial" w:eastAsia="Arial" w:hAnsi="Arial"/>
          <w:b w:val="1"/>
          <w:color w:val="0070c0"/>
          <w:sz w:val="24"/>
          <w:szCs w:val="24"/>
          <w:rtl w:val="0"/>
        </w:rPr>
        <w:t xml:space="preserve">402,731,028.02 </w:t>
      </w:r>
      <w:r w:rsidDel="00000000" w:rsidR="00000000" w:rsidRPr="00000000">
        <w:rPr>
          <w:rFonts w:ascii="Arial" w:cs="Arial" w:eastAsia="Arial" w:hAnsi="Arial"/>
          <w:b w:val="0"/>
          <w:color w:val="000000"/>
          <w:sz w:val="24"/>
          <w:szCs w:val="24"/>
          <w:highlight w:val="white"/>
          <w:rtl w:val="0"/>
        </w:rPr>
        <w:t xml:space="preserve">standby funds at the CO and FO XII. Of the said amount, </w:t>
      </w:r>
      <w:r w:rsidDel="00000000" w:rsidR="00000000" w:rsidRPr="00000000">
        <w:rPr>
          <w:rFonts w:ascii="Arial" w:cs="Arial" w:eastAsia="Arial" w:hAnsi="Arial"/>
          <w:b w:val="1"/>
          <w:color w:val="0070c0"/>
          <w:sz w:val="24"/>
          <w:szCs w:val="24"/>
          <w:highlight w:val="white"/>
          <w:rtl w:val="0"/>
        </w:rPr>
        <w:t xml:space="preserve">₱</w:t>
      </w:r>
      <w:r w:rsidDel="00000000" w:rsidR="00000000" w:rsidRPr="00000000">
        <w:rPr>
          <w:rFonts w:ascii="Arial" w:cs="Arial" w:eastAsia="Arial" w:hAnsi="Arial"/>
          <w:b w:val="1"/>
          <w:color w:val="0070c0"/>
          <w:sz w:val="24"/>
          <w:szCs w:val="24"/>
          <w:rtl w:val="0"/>
        </w:rPr>
        <w:t xml:space="preserve">400,231,207.87 </w:t>
      </w:r>
      <w:r w:rsidDel="00000000" w:rsidR="00000000" w:rsidRPr="00000000">
        <w:rPr>
          <w:rFonts w:ascii="Arial" w:cs="Arial" w:eastAsia="Arial" w:hAnsi="Arial"/>
          <w:b w:val="0"/>
          <w:color w:val="000000"/>
          <w:sz w:val="24"/>
          <w:szCs w:val="24"/>
          <w:highlight w:val="white"/>
          <w:rtl w:val="0"/>
        </w:rPr>
        <w:t xml:space="preserve">is the available Quick Response Fund at the CO.</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Arial" w:cs="Arial" w:eastAsia="Arial" w:hAnsi="Arial"/>
          <w:b w:val="0"/>
          <w:color w:val="000000"/>
          <w:sz w:val="24"/>
          <w:szCs w:val="24"/>
          <w:highlight w:val="white"/>
        </w:rPr>
      </w:pPr>
      <w:r w:rsidDel="00000000" w:rsidR="00000000" w:rsidRPr="00000000">
        <w:rPr>
          <w:rtl w:val="0"/>
        </w:rPr>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jc w:val="both"/>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Stockpiles</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jc w:val="both"/>
        <w:rPr>
          <w:rFonts w:ascii="Arial" w:cs="Arial" w:eastAsia="Arial" w:hAnsi="Arial"/>
          <w:b w:val="0"/>
          <w:color w:val="0070c0"/>
          <w:sz w:val="24"/>
          <w:szCs w:val="24"/>
        </w:rPr>
      </w:pPr>
      <w:r w:rsidDel="00000000" w:rsidR="00000000" w:rsidRPr="00000000">
        <w:rPr>
          <w:rFonts w:ascii="Arial" w:cs="Arial" w:eastAsia="Arial" w:hAnsi="Arial"/>
          <w:b w:val="0"/>
          <w:sz w:val="24"/>
          <w:szCs w:val="24"/>
          <w:rtl w:val="0"/>
        </w:rPr>
        <w:t xml:space="preserve">There is also a total of </w:t>
      </w:r>
      <w:r w:rsidDel="00000000" w:rsidR="00000000" w:rsidRPr="00000000">
        <w:rPr>
          <w:rFonts w:ascii="Arial" w:cs="Arial" w:eastAsia="Arial" w:hAnsi="Arial"/>
          <w:b w:val="1"/>
          <w:color w:val="0070c0"/>
          <w:sz w:val="24"/>
          <w:szCs w:val="24"/>
          <w:rtl w:val="0"/>
        </w:rPr>
        <w:t xml:space="preserve">112,587 </w:t>
      </w:r>
      <w:r w:rsidDel="00000000" w:rsidR="00000000" w:rsidRPr="00000000">
        <w:rPr>
          <w:rFonts w:ascii="Arial" w:cs="Arial" w:eastAsia="Arial" w:hAnsi="Arial"/>
          <w:b w:val="0"/>
          <w:sz w:val="24"/>
          <w:szCs w:val="24"/>
          <w:rtl w:val="0"/>
        </w:rPr>
        <w:t xml:space="preserve">Family Food Packs (FFPs) amounting to </w:t>
      </w:r>
      <w:r w:rsidDel="00000000" w:rsidR="00000000" w:rsidRPr="00000000">
        <w:rPr>
          <w:rFonts w:ascii="Arial" w:cs="Arial" w:eastAsia="Arial" w:hAnsi="Arial"/>
          <w:b w:val="1"/>
          <w:color w:val="0070c0"/>
          <w:sz w:val="24"/>
          <w:szCs w:val="24"/>
          <w:rtl w:val="0"/>
        </w:rPr>
        <w:t xml:space="preserve">₱44,125,704.00 </w:t>
      </w:r>
      <w:r w:rsidDel="00000000" w:rsidR="00000000" w:rsidRPr="00000000">
        <w:rPr>
          <w:rFonts w:ascii="Arial" w:cs="Arial" w:eastAsia="Arial" w:hAnsi="Arial"/>
          <w:b w:val="0"/>
          <w:sz w:val="24"/>
          <w:szCs w:val="24"/>
          <w:rtl w:val="0"/>
        </w:rPr>
        <w:t xml:space="preserve">and available Food and Non-Food Items (FNFIs) amounting to </w:t>
      </w:r>
      <w:r w:rsidDel="00000000" w:rsidR="00000000" w:rsidRPr="00000000">
        <w:rPr>
          <w:rFonts w:ascii="Arial" w:cs="Arial" w:eastAsia="Arial" w:hAnsi="Arial"/>
          <w:b w:val="1"/>
          <w:color w:val="0070c0"/>
          <w:sz w:val="24"/>
          <w:szCs w:val="24"/>
          <w:rtl w:val="0"/>
        </w:rPr>
        <w:t xml:space="preserve">₱150,156,520.85</w:t>
      </w:r>
      <w:r w:rsidDel="00000000" w:rsidR="00000000" w:rsidRPr="00000000">
        <w:rPr>
          <w:rFonts w:ascii="Arial" w:cs="Arial" w:eastAsia="Arial" w:hAnsi="Arial"/>
          <w:b w:val="0"/>
          <w:sz w:val="24"/>
          <w:szCs w:val="24"/>
          <w:rtl w:val="0"/>
        </w:rPr>
        <w:t xml:space="preserv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i w:val="1"/>
          <w:color w:val="002060"/>
          <w:sz w:val="24"/>
          <w:szCs w:val="24"/>
        </w:rPr>
      </w:pPr>
      <w:r w:rsidDel="00000000" w:rsidR="00000000" w:rsidRPr="00000000">
        <w:rPr>
          <w:rFonts w:ascii="Arial" w:cs="Arial" w:eastAsia="Arial" w:hAnsi="Arial"/>
          <w:i w:val="1"/>
          <w:color w:val="002060"/>
          <w:sz w:val="24"/>
          <w:szCs w:val="24"/>
          <w:rtl w:val="0"/>
        </w:rPr>
        <w:t xml:space="preserve">Level of Standby Funds and Stockpile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i w:val="1"/>
          <w:color w:val="222222"/>
          <w:sz w:val="24"/>
          <w:szCs w:val="24"/>
        </w:rPr>
      </w:pPr>
      <w:r w:rsidDel="00000000" w:rsidR="00000000" w:rsidRPr="00000000">
        <w:rPr>
          <w:rtl w:val="0"/>
        </w:rPr>
      </w:r>
    </w:p>
    <w:tbl>
      <w:tblPr>
        <w:tblStyle w:val="Table3"/>
        <w:tblW w:w="10064.0" w:type="dxa"/>
        <w:jc w:val="left"/>
        <w:tblInd w:w="0.0" w:type="dxa"/>
        <w:tblBorders>
          <w:top w:color="cccccc" w:space="0" w:sz="6" w:val="single"/>
          <w:left w:color="cccccc" w:space="0" w:sz="6" w:val="single"/>
          <w:bottom w:color="cccccc" w:space="0" w:sz="6" w:val="single"/>
          <w:right w:color="cccccc" w:space="0" w:sz="6" w:val="single"/>
        </w:tblBorders>
        <w:tblLayout w:type="fixed"/>
        <w:tblLook w:val="0400"/>
      </w:tblPr>
      <w:tblGrid>
        <w:gridCol w:w="908"/>
        <w:gridCol w:w="1342"/>
        <w:gridCol w:w="821"/>
        <w:gridCol w:w="1139"/>
        <w:gridCol w:w="1139"/>
        <w:gridCol w:w="1231"/>
        <w:gridCol w:w="1539"/>
        <w:gridCol w:w="1945"/>
        <w:tblGridChange w:id="0">
          <w:tblGrid>
            <w:gridCol w:w="908"/>
            <w:gridCol w:w="1342"/>
            <w:gridCol w:w="821"/>
            <w:gridCol w:w="1139"/>
            <w:gridCol w:w="1139"/>
            <w:gridCol w:w="1231"/>
            <w:gridCol w:w="1539"/>
            <w:gridCol w:w="1945"/>
          </w:tblGrid>
        </w:tblGridChange>
      </w:tblGrid>
      <w:tr>
        <w:trPr>
          <w:trHeight w:val="280" w:hRule="atLeast"/>
        </w:trPr>
        <w:tc>
          <w:tcPr>
            <w:vMerge w:val="restart"/>
            <w:tcBorders>
              <w:top w:color="000000" w:space="0" w:sz="6" w:val="single"/>
              <w:left w:color="000000"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FIELD OFFICE</w:t>
            </w:r>
          </w:p>
        </w:tc>
        <w:tc>
          <w:tcPr>
            <w:vMerge w:val="restart"/>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STANDBY FUNDS</w:t>
            </w:r>
          </w:p>
        </w:tc>
        <w:tc>
          <w:tcPr>
            <w:gridSpan w:val="5"/>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STOCKPILE</w:t>
            </w:r>
          </w:p>
        </w:tc>
        <w:tc>
          <w:tcPr>
            <w:vMerge w:val="restart"/>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TOTAL STANDBY FUNDS AND STOCKPILE</w:t>
            </w:r>
          </w:p>
        </w:tc>
      </w:tr>
      <w:tr>
        <w:tc>
          <w:tcPr>
            <w:vMerge w:val="continue"/>
            <w:tcBorders>
              <w:top w:color="000000" w:space="0" w:sz="6" w:val="single"/>
              <w:left w:color="000000"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Family Food Packs</w:t>
            </w:r>
          </w:p>
        </w:tc>
        <w:tc>
          <w:tcPr>
            <w:vMerge w:val="restart"/>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Food</w:t>
            </w:r>
          </w:p>
        </w:tc>
        <w:tc>
          <w:tcPr>
            <w:vMerge w:val="restart"/>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Non-Food</w:t>
            </w:r>
          </w:p>
        </w:tc>
        <w:tc>
          <w:tcPr>
            <w:vMerge w:val="restart"/>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Sub-Total (Food and NFIs)</w:t>
            </w:r>
          </w:p>
        </w:tc>
        <w:tc>
          <w:tcPr>
            <w:vMerge w:val="continue"/>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Quantity</w:t>
            </w:r>
          </w:p>
        </w:tc>
        <w:tc>
          <w:tcPr>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Total Cost</w:t>
            </w:r>
          </w:p>
        </w:tc>
        <w:tc>
          <w:tcPr>
            <w:vMerge w:val="continue"/>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8"/>
                <w:szCs w:val="18"/>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8"/>
                <w:szCs w:val="18"/>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bfbfbf" w:val="clear"/>
            <w:tcMar>
              <w:top w:w="0.0" w:type="dxa"/>
              <w:left w:w="45.0" w:type="dxa"/>
              <w:bottom w:w="0.0" w:type="dxa"/>
              <w:right w:w="45.0" w:type="dxa"/>
            </w:tcM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18"/>
                <w:szCs w:val="18"/>
              </w:rPr>
            </w:pP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shd w:fill="d9d9d9" w:val="clear"/>
            <w:tcMar>
              <w:top w:w="0.0" w:type="dxa"/>
              <w:left w:w="45.0" w:type="dxa"/>
              <w:bottom w:w="0.0" w:type="dxa"/>
              <w:right w:w="45.0" w:type="dxa"/>
            </w:tcMar>
            <w:vAlign w:val="bottom"/>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TOTAL</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402,731,028.02</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112,587</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44,125,704.00</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31,525,023.70</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118,631,497.15</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150,156,520.85</w:t>
            </w:r>
          </w:p>
        </w:tc>
        <w:tc>
          <w:tcPr>
            <w:tcBorders>
              <w:top w:color="cccccc" w:space="0" w:sz="6" w:val="single"/>
              <w:left w:color="cccccc" w:space="0" w:sz="6" w:val="single"/>
              <w:bottom w:color="000000" w:space="0" w:sz="6" w:val="single"/>
              <w:right w:color="000000"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597,013,252.87</w:t>
            </w:r>
          </w:p>
        </w:tc>
      </w:tr>
      <w:t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400,231,207.87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400,231,207.87</w:t>
            </w:r>
          </w:p>
        </w:tc>
      </w:tr>
      <w:t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NROC</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87,200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34,986,384.00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29,019,232.80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104,599,070.04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133,618,302.84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168,604,686.84</w:t>
            </w:r>
          </w:p>
        </w:tc>
      </w:tr>
      <w:t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XII</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2,499,820.15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25,387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9,139,320.00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2,505,790.90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14,032,427.11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16,538,218.01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28,177,358.16</w:t>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222222"/>
          <w:sz w:val="16"/>
          <w:szCs w:val="16"/>
        </w:rPr>
      </w:pPr>
      <w:r w:rsidDel="00000000" w:rsidR="00000000" w:rsidRPr="00000000">
        <w:rPr>
          <w:rFonts w:ascii="Arial" w:cs="Arial" w:eastAsia="Arial" w:hAnsi="Arial"/>
          <w:b w:val="0"/>
          <w:i w:val="1"/>
          <w:color w:val="222222"/>
          <w:sz w:val="16"/>
          <w:szCs w:val="16"/>
          <w:rtl w:val="0"/>
        </w:rPr>
        <w:t xml:space="preserve">*Available Quick Response Fund (QRF) as of </w:t>
      </w:r>
      <w:r w:rsidDel="00000000" w:rsidR="00000000" w:rsidRPr="00000000">
        <w:rPr>
          <w:rFonts w:ascii="Arial" w:cs="Arial" w:eastAsia="Arial" w:hAnsi="Arial"/>
          <w:b w:val="0"/>
          <w:i w:val="1"/>
          <w:color w:val="0070c0"/>
          <w:sz w:val="16"/>
          <w:szCs w:val="16"/>
          <w:rtl w:val="0"/>
        </w:rPr>
        <w:t xml:space="preserve">22 November 2016</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i w:val="1"/>
          <w:color w:val="002060"/>
        </w:rPr>
      </w:pPr>
      <w:r w:rsidDel="00000000" w:rsidR="00000000" w:rsidRPr="00000000">
        <w:rPr>
          <w:rFonts w:ascii="Arial" w:cs="Arial" w:eastAsia="Arial" w:hAnsi="Arial"/>
          <w:i w:val="1"/>
          <w:color w:val="002060"/>
          <w:rtl w:val="0"/>
        </w:rPr>
        <w:t xml:space="preserve">Prepositioned FFPs at NROC, DSWD Regional Warehouses, and DSWD FO XII</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i w:val="1"/>
          <w:color w:val="002060"/>
          <w:sz w:val="24"/>
          <w:szCs w:val="24"/>
        </w:rPr>
      </w:pPr>
      <w:r w:rsidDel="00000000" w:rsidR="00000000" w:rsidRPr="00000000">
        <w:rPr>
          <w:rtl w:val="0"/>
        </w:rPr>
      </w:r>
    </w:p>
    <w:tbl>
      <w:tblPr>
        <w:tblStyle w:val="Table4"/>
        <w:tblW w:w="10070.0" w:type="dxa"/>
        <w:jc w:val="left"/>
        <w:tblInd w:w="0.0" w:type="dxa"/>
        <w:tblLayout w:type="fixed"/>
        <w:tblLook w:val="0400"/>
      </w:tblPr>
      <w:tblGrid>
        <w:gridCol w:w="1716"/>
        <w:gridCol w:w="6316"/>
        <w:gridCol w:w="2038"/>
        <w:tblGridChange w:id="0">
          <w:tblGrid>
            <w:gridCol w:w="1716"/>
            <w:gridCol w:w="6316"/>
            <w:gridCol w:w="2038"/>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a6a6a6" w:val="clear"/>
            <w:vAlign w:val="bottom"/>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REGION</w:t>
            </w:r>
          </w:p>
        </w:tc>
        <w:tc>
          <w:tcPr>
            <w:tcBorders>
              <w:top w:color="000000" w:space="0" w:sz="4" w:val="single"/>
              <w:left w:color="000000" w:space="0" w:sz="0" w:val="nil"/>
              <w:bottom w:color="000000" w:space="0" w:sz="4" w:val="single"/>
              <w:right w:color="000000" w:space="0" w:sz="4" w:val="single"/>
            </w:tcBorders>
            <w:shd w:fill="a6a6a6" w:val="clear"/>
            <w:vAlign w:val="bottom"/>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c>
          <w:tcPr>
            <w:tcBorders>
              <w:top w:color="000000" w:space="0" w:sz="4" w:val="single"/>
              <w:left w:color="000000" w:space="0" w:sz="0" w:val="nil"/>
              <w:bottom w:color="000000" w:space="0" w:sz="4" w:val="single"/>
              <w:right w:color="000000" w:space="0" w:sz="4" w:val="single"/>
            </w:tcBorders>
            <w:shd w:fill="a6a6a6"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NUMBER OF FFPS</w:t>
            </w:r>
          </w:p>
        </w:tc>
      </w:tr>
      <w:tr>
        <w:trPr>
          <w:trHeight w:val="20" w:hRule="atLeast"/>
        </w:trPr>
        <w:tc>
          <w:tcPr>
            <w:tcBorders>
              <w:top w:color="000000" w:space="0" w:sz="0" w:val="nil"/>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GRAND TOTAL</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112,587</w:t>
            </w:r>
          </w:p>
        </w:tc>
      </w:tr>
      <w:tr>
        <w:trPr>
          <w:trHeight w:val="2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XII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25,387 </w:t>
            </w:r>
          </w:p>
        </w:tc>
      </w:tr>
      <w:tr>
        <w:trPr>
          <w:trHeight w:val="2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Soledad St., Brgy. RH 12, Cotabato City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10,100 </w:t>
            </w:r>
          </w:p>
        </w:tc>
      </w:tr>
      <w:tr>
        <w:trPr>
          <w:trHeight w:val="2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Arellano St., Brgy. Zone III, Koronadal City, South Cotabato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40" w:lineRule="auto"/>
              <w:ind w:firstLine="240"/>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15,287</w:t>
            </w:r>
          </w:p>
        </w:tc>
      </w:tr>
      <w:tr>
        <w:trPr>
          <w:trHeight w:val="2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NROC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Chapel Road, Pasay City</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240" w:lineRule="auto"/>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87,200 </w:t>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40" w:lineRule="auto"/>
        <w:ind w:left="720" w:firstLine="720"/>
        <w:contextualSpacing w:val="0"/>
        <w:jc w:val="right"/>
        <w:rPr>
          <w:rFonts w:ascii="Arial" w:cs="Arial" w:eastAsia="Arial" w:hAnsi="Arial"/>
          <w:i w:val="1"/>
          <w:color w:val="002060"/>
          <w:sz w:val="16"/>
          <w:szCs w:val="16"/>
        </w:rPr>
      </w:pPr>
      <w:r w:rsidDel="00000000" w:rsidR="00000000" w:rsidRPr="00000000">
        <w:rPr>
          <w:rFonts w:ascii="Arial" w:cs="Arial" w:eastAsia="Arial" w:hAnsi="Arial"/>
          <w:i w:val="1"/>
          <w:color w:val="002060"/>
          <w:sz w:val="16"/>
          <w:szCs w:val="16"/>
          <w:rtl w:val="0"/>
        </w:rPr>
        <w:t xml:space="preserve">Source: DSWD-FO XII, CO, and NROC</w:t>
      </w:r>
    </w:p>
    <w:p w:rsidR="00000000" w:rsidDel="00000000" w:rsidP="00000000" w:rsidRDefault="00000000" w:rsidRPr="00000000" w14:paraId="0000010B">
      <w:pPr>
        <w:pStyle w:val="Heading1"/>
        <w:pBdr>
          <w:top w:space="0" w:sz="0" w:val="nil"/>
          <w:left w:space="0" w:sz="0" w:val="nil"/>
          <w:bottom w:space="0" w:sz="0" w:val="nil"/>
          <w:right w:space="0" w:sz="0" w:val="nil"/>
          <w:between w:space="0" w:sz="0" w:val="nil"/>
        </w:pBdr>
        <w:shd w:fill="auto" w:val="clear"/>
        <w:spacing w:before="0" w:line="240" w:lineRule="auto"/>
        <w:contextualSpacing w:val="0"/>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The following are the situations in areas affected by the armed conflict based on the initial </w:t>
      </w:r>
      <w:r w:rsidDel="00000000" w:rsidR="00000000" w:rsidRPr="00000000">
        <w:rPr>
          <w:rFonts w:ascii="Arial" w:cs="Arial" w:eastAsia="Arial" w:hAnsi="Arial"/>
          <w:color w:val="222222"/>
          <w:sz w:val="24"/>
          <w:szCs w:val="24"/>
          <w:highlight w:val="white"/>
          <w:rtl w:val="0"/>
        </w:rPr>
        <w:t xml:space="preserve">report from DSWD-FO XII:</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Arial" w:cs="Arial" w:eastAsia="Arial" w:hAnsi="Arial"/>
          <w:sz w:val="24"/>
          <w:szCs w:val="24"/>
        </w:rPr>
      </w:pP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
        <w:gridCol w:w="8656"/>
        <w:tblGridChange w:id="0">
          <w:tblGrid>
            <w:gridCol w:w="1414"/>
            <w:gridCol w:w="8656"/>
          </w:tblGrid>
        </w:tblGridChange>
      </w:tblGrid>
      <w:tr>
        <w:tc>
          <w:tcPr>
            <w:shd w:fill="bfbfbf" w:val="clea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REGION</w:t>
            </w:r>
          </w:p>
        </w:tc>
        <w:tc>
          <w:tcPr>
            <w:shd w:fill="bfbfbf"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 / ACTION(S) TAKEN</w:t>
            </w:r>
            <w:r w:rsidDel="00000000" w:rsidR="00000000" w:rsidRPr="00000000">
              <w:rPr>
                <w:rtl w:val="0"/>
              </w:rPr>
            </w:r>
          </w:p>
        </w:tc>
      </w:tr>
      <w:tr>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color w:val="2e75b5"/>
                <w:sz w:val="20"/>
                <w:szCs w:val="20"/>
              </w:rPr>
            </w:pPr>
            <w:r w:rsidDel="00000000" w:rsidR="00000000" w:rsidRPr="00000000">
              <w:rPr>
                <w:rFonts w:ascii="Arial" w:cs="Arial" w:eastAsia="Arial" w:hAnsi="Arial"/>
                <w:color w:val="2e75b5"/>
                <w:sz w:val="20"/>
                <w:szCs w:val="20"/>
                <w:rtl w:val="0"/>
              </w:rPr>
              <w:t xml:space="preserve">21 November 2016</w:t>
            </w:r>
          </w:p>
        </w:tc>
        <w:tc>
          <w:tcPr>
            <w:vAlign w:val="center"/>
          </w:tcPr>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color w:val="2e75b5"/>
                <w:sz w:val="20"/>
                <w:szCs w:val="20"/>
              </w:rPr>
            </w:pPr>
            <w:r w:rsidDel="00000000" w:rsidR="00000000" w:rsidRPr="00000000">
              <w:rPr>
                <w:rFonts w:ascii="Arial" w:cs="Arial" w:eastAsia="Arial" w:hAnsi="Arial"/>
                <w:b w:val="0"/>
                <w:color w:val="2e75b5"/>
                <w:sz w:val="20"/>
                <w:szCs w:val="20"/>
                <w:rtl w:val="0"/>
              </w:rPr>
              <w:t xml:space="preserve">The DSWD-FO XII </w:t>
            </w:r>
            <w:r w:rsidDel="00000000" w:rsidR="00000000" w:rsidRPr="00000000">
              <w:rPr>
                <w:rFonts w:ascii="Arial" w:cs="Arial" w:eastAsia="Arial" w:hAnsi="Arial"/>
                <w:b w:val="0"/>
                <w:color w:val="0070c0"/>
                <w:sz w:val="20"/>
                <w:szCs w:val="20"/>
                <w:rtl w:val="0"/>
              </w:rPr>
              <w:t xml:space="preserve">had extended </w:t>
            </w:r>
            <w:r w:rsidDel="00000000" w:rsidR="00000000" w:rsidRPr="00000000">
              <w:rPr>
                <w:rFonts w:ascii="Arial" w:cs="Arial" w:eastAsia="Arial" w:hAnsi="Arial"/>
                <w:b w:val="1"/>
                <w:color w:val="0070c0"/>
                <w:sz w:val="20"/>
                <w:szCs w:val="20"/>
                <w:rtl w:val="0"/>
              </w:rPr>
              <w:t xml:space="preserve">1,500</w:t>
            </w:r>
            <w:r w:rsidDel="00000000" w:rsidR="00000000" w:rsidRPr="00000000">
              <w:rPr>
                <w:rFonts w:ascii="Arial" w:cs="Arial" w:eastAsia="Arial" w:hAnsi="Arial"/>
                <w:b w:val="0"/>
                <w:color w:val="0070c0"/>
                <w:sz w:val="20"/>
                <w:szCs w:val="20"/>
                <w:rtl w:val="0"/>
              </w:rPr>
              <w:t xml:space="preserve"> Family Food Packs to LGU Balindong as an augmentation support and the remaining relief goods will be provided as their “Pabaon Pack”.</w:t>
            </w:r>
            <w:r w:rsidDel="00000000" w:rsidR="00000000" w:rsidRPr="00000000">
              <w:rPr>
                <w:rtl w:val="0"/>
              </w:rPr>
            </w:r>
          </w:p>
        </w:tc>
      </w:tr>
      <w:t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November 2016</w:t>
            </w:r>
          </w:p>
        </w:tc>
        <w:tc>
          <w:tcPr/>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sz w:val="20"/>
                <w:szCs w:val="20"/>
              </w:rPr>
            </w:pPr>
            <w:r w:rsidDel="00000000" w:rsidR="00000000" w:rsidRPr="00000000">
              <w:rPr>
                <w:rFonts w:ascii="Arial" w:cs="Arial" w:eastAsia="Arial" w:hAnsi="Arial"/>
                <w:b w:val="0"/>
                <w:sz w:val="20"/>
                <w:szCs w:val="20"/>
                <w:rtl w:val="0"/>
              </w:rPr>
              <w:t xml:space="preserve">The DSWD-FO XII DRRMS staff conducted certain validations in the affected areas and partially distributed 700 Family Food Packs together with the DSWD Provincial Office, LGU Balindong and Hon. Regional Vice-Governor Haroun Al-Rashid A. Lucman on November 16, 2016. As per validation, all displaced families in the evacuation centers transferred and opted to stay with their relatives.</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sz w:val="20"/>
                <w:szCs w:val="20"/>
              </w:rPr>
            </w:pPr>
            <w:r w:rsidDel="00000000" w:rsidR="00000000" w:rsidRPr="00000000">
              <w:rPr>
                <w:rFonts w:ascii="Arial" w:cs="Arial" w:eastAsia="Arial" w:hAnsi="Arial"/>
                <w:b w:val="0"/>
                <w:sz w:val="20"/>
                <w:szCs w:val="20"/>
                <w:rtl w:val="0"/>
              </w:rPr>
              <w:t xml:space="preserve">As of 18 November 2016, there was no exchange of gunshots between the armed groups but was believed that the conflict would last until December 2016.</w:t>
            </w:r>
          </w:p>
          <w:p w:rsidR="00000000" w:rsidDel="00000000" w:rsidP="00000000" w:rsidRDefault="00000000" w:rsidRPr="00000000" w14:paraId="000001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sz w:val="20"/>
                <w:szCs w:val="20"/>
              </w:rPr>
            </w:pPr>
            <w:r w:rsidDel="00000000" w:rsidR="00000000" w:rsidRPr="00000000">
              <w:rPr>
                <w:rFonts w:ascii="Arial" w:cs="Arial" w:eastAsia="Arial" w:hAnsi="Arial"/>
                <w:b w:val="0"/>
                <w:sz w:val="20"/>
                <w:szCs w:val="20"/>
                <w:rtl w:val="0"/>
              </w:rPr>
              <w:t xml:space="preserve">The DSWD-FO XII staff were in the area and closely coordinating with the MSWDO of Balindong and other concern agencies to monitor and address the needs of the affected families.  </w:t>
            </w:r>
          </w:p>
        </w:tc>
      </w:tr>
      <w:tr>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November 2016</w:t>
            </w:r>
          </w:p>
        </w:tc>
        <w:tc>
          <w:tcPr/>
          <w:p w:rsidR="00000000" w:rsidDel="00000000" w:rsidP="00000000" w:rsidRDefault="00000000" w:rsidRPr="00000000" w14:paraId="000001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sz w:val="20"/>
                <w:szCs w:val="20"/>
              </w:rPr>
            </w:pPr>
            <w:r w:rsidDel="00000000" w:rsidR="00000000" w:rsidRPr="00000000">
              <w:rPr>
                <w:rFonts w:ascii="Arial" w:cs="Arial" w:eastAsia="Arial" w:hAnsi="Arial"/>
                <w:b w:val="0"/>
                <w:sz w:val="20"/>
                <w:szCs w:val="20"/>
                <w:rtl w:val="0"/>
              </w:rPr>
              <w:t xml:space="preserve">To date, there were 7 Barangays affected namely: Bualan, Dibarosan, Abaga, Barit, Bubong-Cadapaan and Lati.</w:t>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hanging="252"/>
              <w:contextualSpacing w:val="1"/>
              <w:jc w:val="both"/>
              <w:rPr>
                <w:b w:val="0"/>
                <w:sz w:val="20"/>
                <w:szCs w:val="20"/>
              </w:rPr>
            </w:pPr>
            <w:r w:rsidDel="00000000" w:rsidR="00000000" w:rsidRPr="00000000">
              <w:rPr>
                <w:rFonts w:ascii="Arial" w:cs="Arial" w:eastAsia="Arial" w:hAnsi="Arial"/>
                <w:b w:val="0"/>
                <w:sz w:val="20"/>
                <w:szCs w:val="20"/>
                <w:rtl w:val="0"/>
              </w:rPr>
              <w:t xml:space="preserve">DSWD-FO XII will be providing 1,500 family food packs as resource augmentation to the affected Barangays in the Municipality of Balindong.</w:t>
            </w:r>
          </w:p>
        </w:tc>
      </w:tr>
    </w:tbl>
    <w:p w:rsidR="00000000" w:rsidDel="00000000" w:rsidP="00000000" w:rsidRDefault="00000000" w:rsidRPr="00000000" w14:paraId="0000011A">
      <w:pPr>
        <w:pStyle w:val="Heading1"/>
        <w:pBdr>
          <w:top w:space="0" w:sz="0" w:val="nil"/>
          <w:left w:space="0" w:sz="0" w:val="nil"/>
          <w:bottom w:space="0" w:sz="0" w:val="nil"/>
          <w:right w:space="0" w:sz="0" w:val="nil"/>
          <w:between w:space="0" w:sz="0" w:val="nil"/>
        </w:pBdr>
        <w:shd w:fill="auto" w:val="clear"/>
        <w:spacing w:before="0" w:line="240" w:lineRule="auto"/>
        <w:ind w:left="7200" w:firstLine="0"/>
        <w:contextualSpacing w:val="0"/>
        <w:jc w:val="right"/>
        <w:rPr>
          <w:rFonts w:ascii="Arial" w:cs="Arial" w:eastAsia="Arial" w:hAnsi="Arial"/>
          <w:b w:val="1"/>
          <w:color w:val="2e75b5"/>
          <w:sz w:val="16"/>
          <w:szCs w:val="16"/>
        </w:rPr>
      </w:pPr>
      <w:r w:rsidDel="00000000" w:rsidR="00000000" w:rsidRPr="00000000">
        <w:rPr>
          <w:rFonts w:ascii="Arial" w:cs="Arial" w:eastAsia="Arial" w:hAnsi="Arial"/>
          <w:i w:val="1"/>
          <w:color w:val="002060"/>
          <w:sz w:val="16"/>
          <w:szCs w:val="16"/>
          <w:rtl w:val="0"/>
        </w:rPr>
        <w:t xml:space="preserve">Source: DSWD-FO XII</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0"/>
          <w:szCs w:val="20"/>
        </w:rPr>
      </w:pPr>
      <w:bookmarkStart w:colFirst="0" w:colLast="0" w:name="_30j0zll" w:id="1"/>
      <w:bookmarkEnd w:id="1"/>
      <w:r w:rsidDel="00000000" w:rsidR="00000000" w:rsidRPr="00000000">
        <w:rPr>
          <w:rFonts w:ascii="Arial" w:cs="Arial" w:eastAsia="Arial" w:hAnsi="Arial"/>
          <w:b w:val="0"/>
          <w:color w:val="000000"/>
          <w:sz w:val="20"/>
          <w:szCs w:val="20"/>
          <w:rtl w:val="0"/>
        </w:rPr>
        <w:t xml:space="preserve">---</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 xml:space="preserve">The Disaster Response Operations Monitoring and Information Center (DROMIC) of the DSWD continues to closely coordinate with the DSWD-FO XII for significant report on assistance and relief efforts.</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601"/>
        </w:tabs>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1601"/>
        </w:tabs>
        <w:spacing w:after="0" w:before="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601"/>
        </w:tabs>
        <w:spacing w:after="0" w:before="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(SGD) </w:t>
      </w:r>
      <w:r w:rsidDel="00000000" w:rsidR="00000000" w:rsidRPr="00000000">
        <w:rPr>
          <w:rFonts w:ascii="Arial" w:cs="Arial" w:eastAsia="Arial" w:hAnsi="Arial"/>
          <w:b w:val="1"/>
          <w:sz w:val="24"/>
          <w:szCs w:val="24"/>
          <w:rtl w:val="0"/>
        </w:rPr>
        <w:t xml:space="preserve">MAPET P. BULAWAN</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1601"/>
        </w:tabs>
        <w:spacing w:after="0" w:before="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Releasing Officer</w:t>
      </w:r>
    </w:p>
    <w:sectPr>
      <w:headerReference r:id="rId6" w:type="default"/>
      <w:footerReference r:id="rId7"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Page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b w:val="0"/>
        <w:sz w:val="16"/>
        <w:szCs w:val="16"/>
        <w:rtl w:val="0"/>
      </w:rPr>
      <w:t xml:space="preserve"> of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 xml:space="preserve"> | </w:t>
    </w:r>
    <w:r w:rsidDel="00000000" w:rsidR="00000000" w:rsidRPr="00000000">
      <w:rPr>
        <w:rFonts w:ascii="Calibri" w:cs="Calibri" w:eastAsia="Calibri" w:hAnsi="Calibri"/>
        <w:b w:val="0"/>
        <w:sz w:val="16"/>
        <w:szCs w:val="16"/>
        <w:rtl w:val="0"/>
      </w:rPr>
      <w:t xml:space="preserve">DSWD DROMIC Report #3 on the Armed Conflict in Lanao del Sur as of 20 November 2016, 7PM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120" w:before="720" w:line="240" w:lineRule="auto"/>
      <w:contextualSpacing w:val="0"/>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Republic of the Philippines</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color w:val="002060"/>
        <w:sz w:val="20"/>
        <w:szCs w:val="20"/>
      </w:rPr>
    </w:pPr>
    <w:r w:rsidDel="00000000" w:rsidR="00000000" w:rsidRPr="00000000">
      <w:rPr>
        <w:color w:val="002060"/>
        <w:sz w:val="20"/>
        <w:szCs w:val="20"/>
      </w:rPr>
      <w:drawing>
        <wp:inline distB="0" distT="0" distL="0" distR="0">
          <wp:extent cx="1975104" cy="649224"/>
          <wp:effectExtent b="0" l="0" r="0" t="0"/>
          <wp:docPr descr="C:\Users\HP\AppData\Local\Microsoft\Windows\INetCache\Content.Word\Letter Head-A4 FINAL.JPG" id="1" name="image1.png"/>
          <a:graphic>
            <a:graphicData uri="http://schemas.openxmlformats.org/drawingml/2006/picture">
              <pic:pic>
                <pic:nvPicPr>
                  <pic:cNvPr descr="C:\Users\HP\AppData\Local\Microsoft\Windows\INetCache\Content.Word\Letter Head-A4 FINAL.JPG" id="0" name="image1.png"/>
                  <pic:cNvPicPr preferRelativeResize="0"/>
                </pic:nvPicPr>
                <pic:blipFill>
                  <a:blip r:embed="rId1"/>
                  <a:srcRect b="-8804" l="0" r="0" t="0"/>
                  <a:stretch>
                    <a:fillRect/>
                  </a:stretch>
                </pic:blipFill>
                <pic:spPr>
                  <a:xfrm>
                    <a:off x="0" y="0"/>
                    <a:ext cx="1975104" cy="649224"/>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Overlock" w:cs="Overlock" w:eastAsia="Overlock" w:hAnsi="Overlock"/>
        <w:color w:val="002060"/>
      </w:rPr>
    </w:pPr>
    <w:r w:rsidDel="00000000" w:rsidR="00000000" w:rsidRPr="00000000">
      <w:rPr>
        <w:rFonts w:ascii="Overlock" w:cs="Overlock" w:eastAsia="Overlock" w:hAnsi="Overlock"/>
        <w:color w:val="002060"/>
        <w:rtl w:val="0"/>
      </w:rPr>
      <w:t xml:space="preserve">Disaster Response Operations Monitoring and Information Center</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lowerLetter"/>
      <w:lvlText w:val="%1."/>
      <w:lvlJc w:val="left"/>
      <w:pPr>
        <w:ind w:left="720" w:hanging="360"/>
      </w:pPr>
      <w:rPr>
        <w:b w:val="1"/>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contextualSpacing w:val="0"/>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