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3760" w:rsidRPr="004B352A" w:rsidRDefault="004B352A" w:rsidP="004B352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B352A">
        <w:rPr>
          <w:rFonts w:ascii="Arial" w:eastAsia="Arial" w:hAnsi="Arial" w:cs="Arial"/>
          <w:b/>
          <w:sz w:val="32"/>
          <w:szCs w:val="24"/>
        </w:rPr>
        <w:t xml:space="preserve">DSWD DROMIC Terminal Report </w:t>
      </w:r>
    </w:p>
    <w:p w:rsidR="00BB6B46" w:rsidRPr="004B352A" w:rsidRDefault="006D5E7A" w:rsidP="004B352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4B352A">
        <w:rPr>
          <w:rFonts w:ascii="Arial" w:eastAsia="Arial" w:hAnsi="Arial" w:cs="Arial"/>
          <w:b/>
          <w:sz w:val="32"/>
          <w:szCs w:val="24"/>
        </w:rPr>
        <w:t>on</w:t>
      </w:r>
      <w:proofErr w:type="gramEnd"/>
      <w:r w:rsidRPr="004B352A">
        <w:rPr>
          <w:rFonts w:ascii="Arial" w:eastAsia="Arial" w:hAnsi="Arial" w:cs="Arial"/>
          <w:b/>
          <w:sz w:val="32"/>
          <w:szCs w:val="24"/>
        </w:rPr>
        <w:t xml:space="preserve"> the Fire Incident in </w:t>
      </w:r>
      <w:proofErr w:type="spellStart"/>
      <w:r w:rsidR="00BB6B46" w:rsidRPr="004B352A">
        <w:rPr>
          <w:rFonts w:ascii="Arial" w:eastAsia="Arial" w:hAnsi="Arial" w:cs="Arial"/>
          <w:b/>
          <w:sz w:val="32"/>
          <w:szCs w:val="24"/>
        </w:rPr>
        <w:t>Nagpayong</w:t>
      </w:r>
      <w:proofErr w:type="spellEnd"/>
      <w:r w:rsidR="00BB6B46" w:rsidRPr="004B352A">
        <w:rPr>
          <w:rFonts w:ascii="Arial" w:eastAsia="Arial" w:hAnsi="Arial" w:cs="Arial"/>
          <w:b/>
          <w:sz w:val="32"/>
          <w:szCs w:val="24"/>
        </w:rPr>
        <w:t xml:space="preserve"> I</w:t>
      </w:r>
      <w:r w:rsidR="004B352A">
        <w:rPr>
          <w:rFonts w:ascii="Arial" w:eastAsia="Arial" w:hAnsi="Arial" w:cs="Arial"/>
          <w:b/>
          <w:sz w:val="32"/>
          <w:szCs w:val="24"/>
        </w:rPr>
        <w:t>,</w:t>
      </w:r>
    </w:p>
    <w:p w:rsidR="00E63760" w:rsidRPr="004B352A" w:rsidRDefault="00161AC5" w:rsidP="004B352A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4B352A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4B352A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BB6B46" w:rsidRPr="004B352A">
        <w:rPr>
          <w:rFonts w:ascii="Arial" w:eastAsia="Arial" w:hAnsi="Arial" w:cs="Arial"/>
          <w:b/>
          <w:sz w:val="32"/>
          <w:szCs w:val="24"/>
        </w:rPr>
        <w:t>Pinagbuhatan</w:t>
      </w:r>
      <w:proofErr w:type="spellEnd"/>
      <w:r w:rsidR="00BB6B46" w:rsidRPr="004B352A">
        <w:rPr>
          <w:rFonts w:ascii="Arial" w:eastAsia="Arial" w:hAnsi="Arial" w:cs="Arial"/>
          <w:b/>
          <w:sz w:val="32"/>
          <w:szCs w:val="24"/>
        </w:rPr>
        <w:t>, Pasig City</w:t>
      </w:r>
    </w:p>
    <w:p w:rsidR="00E63760" w:rsidRPr="004B352A" w:rsidRDefault="004B352A" w:rsidP="004B352A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B352A">
        <w:rPr>
          <w:rFonts w:ascii="Arial" w:eastAsia="Arial" w:hAnsi="Arial" w:cs="Arial"/>
          <w:sz w:val="24"/>
          <w:szCs w:val="24"/>
        </w:rPr>
        <w:t>16 July 2018, 6</w:t>
      </w:r>
      <w:r w:rsidR="003178F2" w:rsidRPr="004B352A">
        <w:rPr>
          <w:rFonts w:ascii="Arial" w:eastAsia="Arial" w:hAnsi="Arial" w:cs="Arial"/>
          <w:sz w:val="24"/>
          <w:szCs w:val="24"/>
        </w:rPr>
        <w:t>PM</w:t>
      </w:r>
    </w:p>
    <w:p w:rsidR="00E63760" w:rsidRPr="004B352A" w:rsidRDefault="00E63760" w:rsidP="004B352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E63760" w:rsidRPr="004B352A" w:rsidRDefault="00E63760" w:rsidP="004B352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0" w:name="_gjdgxs" w:colFirst="0" w:colLast="0"/>
      <w:bookmarkEnd w:id="0"/>
    </w:p>
    <w:p w:rsidR="004B352A" w:rsidRPr="004B352A" w:rsidRDefault="004B352A" w:rsidP="004B352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352A">
        <w:rPr>
          <w:rFonts w:ascii="Arial" w:eastAsia="Arial" w:hAnsi="Arial" w:cs="Arial"/>
          <w:sz w:val="24"/>
          <w:szCs w:val="24"/>
        </w:rPr>
        <w:t xml:space="preserve">This is the final report on the monitored fire incident in Rodrigo Compound, Sandoval Avenue, </w:t>
      </w:r>
      <w:proofErr w:type="spellStart"/>
      <w:r w:rsidRPr="004B352A">
        <w:rPr>
          <w:rFonts w:ascii="Arial" w:eastAsia="Arial" w:hAnsi="Arial" w:cs="Arial"/>
          <w:sz w:val="24"/>
          <w:szCs w:val="24"/>
        </w:rPr>
        <w:t>Nagpayong</w:t>
      </w:r>
      <w:proofErr w:type="spellEnd"/>
      <w:r w:rsidRPr="004B352A">
        <w:rPr>
          <w:rFonts w:ascii="Arial" w:eastAsia="Arial" w:hAnsi="Arial" w:cs="Arial"/>
          <w:sz w:val="24"/>
          <w:szCs w:val="24"/>
        </w:rPr>
        <w:t xml:space="preserve"> I, </w:t>
      </w:r>
      <w:proofErr w:type="spellStart"/>
      <w:proofErr w:type="gramStart"/>
      <w:r w:rsidRPr="004B352A">
        <w:rPr>
          <w:rFonts w:ascii="Arial" w:eastAsia="Arial" w:hAnsi="Arial" w:cs="Arial"/>
          <w:sz w:val="24"/>
          <w:szCs w:val="24"/>
        </w:rPr>
        <w:t>Brgy</w:t>
      </w:r>
      <w:proofErr w:type="spellEnd"/>
      <w:proofErr w:type="gramEnd"/>
      <w:r w:rsidRPr="004B352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Pr="004B352A">
        <w:rPr>
          <w:rFonts w:ascii="Arial" w:eastAsia="Arial" w:hAnsi="Arial" w:cs="Arial"/>
          <w:sz w:val="24"/>
          <w:szCs w:val="24"/>
        </w:rPr>
        <w:t>Pinagbuhatan</w:t>
      </w:r>
      <w:proofErr w:type="spellEnd"/>
      <w:r w:rsidRPr="004B352A">
        <w:rPr>
          <w:rFonts w:ascii="Arial" w:eastAsia="Arial" w:hAnsi="Arial" w:cs="Arial"/>
          <w:sz w:val="24"/>
          <w:szCs w:val="24"/>
        </w:rPr>
        <w:t xml:space="preserve">, Pasig City which transpired on 24 February 2018 at around 12:58 PM. </w:t>
      </w:r>
    </w:p>
    <w:p w:rsidR="004B352A" w:rsidRPr="004B352A" w:rsidRDefault="004B352A" w:rsidP="004B352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E63760" w:rsidRPr="00562937" w:rsidRDefault="006D5E7A" w:rsidP="005629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562937">
        <w:rPr>
          <w:rFonts w:ascii="Arial" w:eastAsia="Arial" w:hAnsi="Arial" w:cs="Arial"/>
          <w:b/>
          <w:sz w:val="24"/>
          <w:szCs w:val="24"/>
        </w:rPr>
        <w:t xml:space="preserve">Status of Affected Families / Persons </w:t>
      </w:r>
    </w:p>
    <w:p w:rsidR="00E63760" w:rsidRPr="004B352A" w:rsidRDefault="004B352A" w:rsidP="00562937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6D5E7A" w:rsidRPr="004B352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6D5E7A" w:rsidRPr="004B352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D5E7A" w:rsidRPr="004B352A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65 </w:t>
      </w:r>
      <w:r w:rsidR="006D5E7A" w:rsidRPr="004B352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D5E7A" w:rsidRPr="004B352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D5E7A" w:rsidRPr="004B352A">
        <w:rPr>
          <w:rFonts w:ascii="Arial" w:eastAsia="Arial" w:hAnsi="Arial" w:cs="Arial"/>
          <w:sz w:val="24"/>
          <w:szCs w:val="24"/>
        </w:rPr>
        <w:t xml:space="preserve">were affected by the fire incident </w:t>
      </w:r>
      <w:r w:rsidR="00C173DF" w:rsidRPr="004B352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C173DF" w:rsidRPr="004B352A">
        <w:rPr>
          <w:rFonts w:ascii="Arial" w:eastAsia="Arial" w:hAnsi="Arial" w:cs="Arial"/>
          <w:sz w:val="24"/>
          <w:szCs w:val="24"/>
        </w:rPr>
        <w:t>Nagpayong</w:t>
      </w:r>
      <w:proofErr w:type="spellEnd"/>
      <w:r w:rsidR="00C173DF" w:rsidRPr="004B352A">
        <w:rPr>
          <w:rFonts w:ascii="Arial" w:eastAsia="Arial" w:hAnsi="Arial" w:cs="Arial"/>
          <w:sz w:val="24"/>
          <w:szCs w:val="24"/>
        </w:rPr>
        <w:t xml:space="preserve"> I, </w:t>
      </w:r>
      <w:proofErr w:type="spellStart"/>
      <w:r w:rsidR="00206036" w:rsidRPr="004B352A">
        <w:rPr>
          <w:rFonts w:ascii="Arial" w:eastAsia="Arial" w:hAnsi="Arial" w:cs="Arial"/>
          <w:sz w:val="24"/>
          <w:szCs w:val="24"/>
        </w:rPr>
        <w:t>Brgy</w:t>
      </w:r>
      <w:proofErr w:type="spellEnd"/>
      <w:r w:rsidR="00206036" w:rsidRPr="004B352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ED3415" w:rsidRPr="004B352A">
        <w:rPr>
          <w:rFonts w:ascii="Arial" w:eastAsia="Arial" w:hAnsi="Arial" w:cs="Arial"/>
          <w:sz w:val="24"/>
          <w:szCs w:val="24"/>
        </w:rPr>
        <w:t>Pinagbuhatan</w:t>
      </w:r>
      <w:proofErr w:type="spellEnd"/>
      <w:r w:rsidR="00ED3415" w:rsidRPr="004B352A">
        <w:rPr>
          <w:rFonts w:ascii="Arial" w:eastAsia="Arial" w:hAnsi="Arial" w:cs="Arial"/>
          <w:sz w:val="24"/>
          <w:szCs w:val="24"/>
        </w:rPr>
        <w:t>, Pasig City</w:t>
      </w:r>
      <w:r w:rsidR="006D5E7A" w:rsidRPr="004B352A">
        <w:rPr>
          <w:rFonts w:ascii="Arial" w:eastAsia="Arial" w:hAnsi="Arial" w:cs="Arial"/>
          <w:sz w:val="24"/>
          <w:szCs w:val="24"/>
        </w:rPr>
        <w:t xml:space="preserve"> (</w:t>
      </w:r>
      <w:r w:rsidR="00236F50" w:rsidRPr="004B352A">
        <w:rPr>
          <w:rFonts w:ascii="Arial" w:eastAsia="Arial" w:hAnsi="Arial" w:cs="Arial"/>
          <w:sz w:val="24"/>
          <w:szCs w:val="24"/>
        </w:rPr>
        <w:t xml:space="preserve">see </w:t>
      </w:r>
      <w:r w:rsidR="006D5E7A" w:rsidRPr="004B352A">
        <w:rPr>
          <w:rFonts w:ascii="Arial" w:eastAsia="Arial" w:hAnsi="Arial" w:cs="Arial"/>
          <w:sz w:val="24"/>
          <w:szCs w:val="24"/>
        </w:rPr>
        <w:t>Table 1).</w:t>
      </w:r>
    </w:p>
    <w:p w:rsidR="00E63760" w:rsidRPr="004B352A" w:rsidRDefault="00E63760" w:rsidP="004B352A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E63760" w:rsidRPr="004B352A" w:rsidRDefault="006D5E7A" w:rsidP="00562937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B352A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4" w:type="pct"/>
        <w:tblInd w:w="535" w:type="dxa"/>
        <w:tblLook w:val="04A0" w:firstRow="1" w:lastRow="0" w:firstColumn="1" w:lastColumn="0" w:noHBand="0" w:noVBand="1"/>
      </w:tblPr>
      <w:tblGrid>
        <w:gridCol w:w="4591"/>
        <w:gridCol w:w="1742"/>
        <w:gridCol w:w="1443"/>
        <w:gridCol w:w="1424"/>
      </w:tblGrid>
      <w:tr w:rsidR="004B352A" w:rsidRPr="004B352A" w:rsidTr="00562937">
        <w:trPr>
          <w:trHeight w:val="20"/>
        </w:trPr>
        <w:tc>
          <w:tcPr>
            <w:tcW w:w="24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</w:t>
            </w:r>
            <w:r w:rsidR="00236F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/ CITY </w:t>
            </w:r>
            <w:r w:rsidRPr="004B352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/ MUNICIPALITY </w:t>
            </w:r>
          </w:p>
        </w:tc>
        <w:tc>
          <w:tcPr>
            <w:tcW w:w="25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NUMBER OF AFFECTED </w:t>
            </w:r>
          </w:p>
        </w:tc>
      </w:tr>
      <w:tr w:rsidR="004B352A" w:rsidRPr="004B352A" w:rsidTr="00562937">
        <w:trPr>
          <w:trHeight w:val="20"/>
        </w:trPr>
        <w:tc>
          <w:tcPr>
            <w:tcW w:w="24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Barangays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Families 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Persons </w:t>
            </w:r>
          </w:p>
        </w:tc>
      </w:tr>
      <w:tr w:rsidR="004B352A" w:rsidRPr="004B352A" w:rsidTr="00562937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15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65 </w:t>
            </w:r>
          </w:p>
        </w:tc>
      </w:tr>
      <w:tr w:rsidR="004B352A" w:rsidRPr="004B352A" w:rsidTr="00562937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NCR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15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65 </w:t>
            </w:r>
          </w:p>
        </w:tc>
      </w:tr>
      <w:tr w:rsidR="004B352A" w:rsidRPr="004B352A" w:rsidTr="00562937">
        <w:trPr>
          <w:trHeight w:val="20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>Pasig City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         1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     15 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52A" w:rsidRPr="004B352A" w:rsidRDefault="004B352A" w:rsidP="004B352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</w:pPr>
            <w:r w:rsidRPr="004B352A">
              <w:rPr>
                <w:rFonts w:ascii="Arial" w:eastAsia="Times New Roman" w:hAnsi="Arial" w:cs="Arial"/>
                <w:bCs/>
                <w:i/>
                <w:sz w:val="20"/>
                <w:szCs w:val="24"/>
              </w:rPr>
              <w:t xml:space="preserve">           65 </w:t>
            </w:r>
          </w:p>
        </w:tc>
      </w:tr>
    </w:tbl>
    <w:p w:rsidR="0071747F" w:rsidRPr="004B352A" w:rsidRDefault="0071747F" w:rsidP="00562937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4B352A">
        <w:rPr>
          <w:rFonts w:ascii="Arial" w:eastAsia="Arial" w:hAnsi="Arial" w:cs="Arial"/>
          <w:i/>
          <w:sz w:val="16"/>
          <w:szCs w:val="24"/>
        </w:rPr>
        <w:t xml:space="preserve">Note: </w:t>
      </w:r>
      <w:r w:rsidR="00236F50">
        <w:rPr>
          <w:rFonts w:ascii="Arial" w:eastAsia="Arial" w:hAnsi="Arial" w:cs="Arial"/>
          <w:i/>
          <w:sz w:val="16"/>
          <w:szCs w:val="24"/>
        </w:rPr>
        <w:t xml:space="preserve">The decrease in the number of families and persons is based on the assessment and validation of Pasig City Social Welfare and Development Office. </w:t>
      </w:r>
    </w:p>
    <w:p w:rsidR="00E63760" w:rsidRPr="004B352A" w:rsidRDefault="006D5E7A" w:rsidP="004B35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B352A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E63760" w:rsidRPr="004B352A" w:rsidRDefault="00E63760" w:rsidP="004B352A">
      <w:pPr>
        <w:spacing w:after="0" w:line="240" w:lineRule="auto"/>
        <w:contextualSpacing/>
        <w:rPr>
          <w:rFonts w:ascii="Arial" w:eastAsia="Arial" w:hAnsi="Arial" w:cs="Arial"/>
          <w:color w:val="2F5496"/>
          <w:sz w:val="24"/>
          <w:szCs w:val="24"/>
        </w:rPr>
      </w:pPr>
    </w:p>
    <w:p w:rsidR="00E63760" w:rsidRPr="00562937" w:rsidRDefault="006D5E7A" w:rsidP="005629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1" w:name="_30j0zll" w:colFirst="0" w:colLast="0"/>
      <w:bookmarkEnd w:id="1"/>
      <w:r w:rsidRPr="00562937">
        <w:rPr>
          <w:rFonts w:ascii="Arial" w:eastAsia="Arial" w:hAnsi="Arial" w:cs="Arial"/>
          <w:b/>
          <w:sz w:val="24"/>
          <w:szCs w:val="24"/>
        </w:rPr>
        <w:t xml:space="preserve">Status of Displaced Families / Persons </w:t>
      </w:r>
    </w:p>
    <w:p w:rsidR="00E63760" w:rsidRPr="004B352A" w:rsidRDefault="00236F50" w:rsidP="00562937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2" w:name="_1fob9te" w:colFirst="0" w:colLast="0"/>
      <w:bookmarkEnd w:id="2"/>
      <w:r>
        <w:rPr>
          <w:rFonts w:ascii="Arial" w:eastAsia="Arial" w:hAnsi="Arial" w:cs="Arial"/>
          <w:b/>
          <w:color w:val="0070C0"/>
          <w:sz w:val="24"/>
          <w:szCs w:val="24"/>
        </w:rPr>
        <w:t>15</w:t>
      </w:r>
      <w:r w:rsidR="006D5E7A" w:rsidRPr="004B352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6D5E7A" w:rsidRPr="004B352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D5E7A" w:rsidRPr="004B352A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65 </w:t>
      </w:r>
      <w:r w:rsidR="006D5E7A" w:rsidRPr="004B352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6D5E7A" w:rsidRPr="004B352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who were</w:t>
      </w:r>
      <w:r w:rsidR="006D5E7A" w:rsidRPr="004B352A">
        <w:rPr>
          <w:rFonts w:ascii="Arial" w:eastAsia="Arial" w:hAnsi="Arial" w:cs="Arial"/>
          <w:sz w:val="24"/>
          <w:szCs w:val="24"/>
        </w:rPr>
        <w:t xml:space="preserve"> temporarily sheltered </w:t>
      </w:r>
      <w:r w:rsidR="000539A1" w:rsidRPr="004B352A">
        <w:rPr>
          <w:rFonts w:ascii="Arial" w:eastAsia="Arial" w:hAnsi="Arial" w:cs="Arial"/>
          <w:sz w:val="24"/>
          <w:szCs w:val="24"/>
        </w:rPr>
        <w:t xml:space="preserve">at Rodrigo Basketball Court in </w:t>
      </w:r>
      <w:proofErr w:type="spellStart"/>
      <w:r w:rsidR="000539A1" w:rsidRPr="004B352A">
        <w:rPr>
          <w:rFonts w:ascii="Arial" w:eastAsia="Arial" w:hAnsi="Arial" w:cs="Arial"/>
          <w:sz w:val="24"/>
          <w:szCs w:val="24"/>
        </w:rPr>
        <w:t>Brgy</w:t>
      </w:r>
      <w:proofErr w:type="spellEnd"/>
      <w:r w:rsidR="000539A1" w:rsidRPr="004B352A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0539A1" w:rsidRPr="004B352A">
        <w:rPr>
          <w:rFonts w:ascii="Arial" w:eastAsia="Arial" w:hAnsi="Arial" w:cs="Arial"/>
          <w:sz w:val="24"/>
          <w:szCs w:val="24"/>
        </w:rPr>
        <w:t>Pinagbuhatan</w:t>
      </w:r>
      <w:proofErr w:type="spellEnd"/>
      <w:r w:rsidR="000539A1" w:rsidRPr="004B352A">
        <w:rPr>
          <w:rFonts w:ascii="Arial" w:eastAsia="Arial" w:hAnsi="Arial" w:cs="Arial"/>
          <w:sz w:val="24"/>
          <w:szCs w:val="24"/>
        </w:rPr>
        <w:t xml:space="preserve">, Pasig City </w:t>
      </w:r>
      <w:r>
        <w:rPr>
          <w:rFonts w:ascii="Arial" w:eastAsia="Arial" w:hAnsi="Arial" w:cs="Arial"/>
          <w:sz w:val="24"/>
          <w:szCs w:val="24"/>
        </w:rPr>
        <w:t xml:space="preserve">have already returned to their place of residence after rebuilding their gutted houses </w:t>
      </w:r>
      <w:r w:rsidR="006D5E7A" w:rsidRPr="004B352A">
        <w:rPr>
          <w:rFonts w:ascii="Arial" w:eastAsia="Arial" w:hAnsi="Arial" w:cs="Arial"/>
          <w:sz w:val="24"/>
          <w:szCs w:val="24"/>
        </w:rPr>
        <w:t>(</w:t>
      </w:r>
      <w:r w:rsidRPr="004B352A">
        <w:rPr>
          <w:rFonts w:ascii="Arial" w:eastAsia="Arial" w:hAnsi="Arial" w:cs="Arial"/>
          <w:sz w:val="24"/>
          <w:szCs w:val="24"/>
        </w:rPr>
        <w:t xml:space="preserve">see </w:t>
      </w:r>
      <w:r w:rsidR="006D5E7A" w:rsidRPr="004B352A">
        <w:rPr>
          <w:rFonts w:ascii="Arial" w:eastAsia="Arial" w:hAnsi="Arial" w:cs="Arial"/>
          <w:sz w:val="24"/>
          <w:szCs w:val="24"/>
        </w:rPr>
        <w:t>Table 2).</w:t>
      </w:r>
    </w:p>
    <w:p w:rsidR="00E63760" w:rsidRPr="004B352A" w:rsidRDefault="00E63760" w:rsidP="00562937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63760" w:rsidRPr="00236F50" w:rsidRDefault="006D5E7A" w:rsidP="005629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36F50">
        <w:rPr>
          <w:rFonts w:ascii="Arial" w:eastAsia="Arial" w:hAnsi="Arial" w:cs="Arial"/>
          <w:b/>
          <w:i/>
          <w:sz w:val="20"/>
          <w:szCs w:val="24"/>
        </w:rPr>
        <w:t>Table 2. Displaced Families / Inside Evacuation Centers</w:t>
      </w:r>
    </w:p>
    <w:tbl>
      <w:tblPr>
        <w:tblW w:w="4716" w:type="pct"/>
        <w:tblInd w:w="535" w:type="dxa"/>
        <w:tblLook w:val="04A0" w:firstRow="1" w:lastRow="0" w:firstColumn="1" w:lastColumn="0" w:noHBand="0" w:noVBand="1"/>
      </w:tblPr>
      <w:tblGrid>
        <w:gridCol w:w="4410"/>
        <w:gridCol w:w="1223"/>
        <w:gridCol w:w="1165"/>
        <w:gridCol w:w="1223"/>
        <w:gridCol w:w="1163"/>
      </w:tblGrid>
      <w:tr w:rsidR="00236F50" w:rsidRPr="00236F50" w:rsidTr="00562937">
        <w:trPr>
          <w:trHeight w:val="20"/>
        </w:trPr>
        <w:tc>
          <w:tcPr>
            <w:tcW w:w="2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/ CITY </w:t>
            </w:r>
            <w:r w:rsidRPr="00236F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/ MUNICIPALITY </w:t>
            </w:r>
          </w:p>
        </w:tc>
        <w:tc>
          <w:tcPr>
            <w:tcW w:w="25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NUMBER OF SERVED </w:t>
            </w:r>
          </w:p>
        </w:tc>
      </w:tr>
      <w:tr w:rsidR="00236F50" w:rsidRPr="00236F50" w:rsidTr="00562937">
        <w:trPr>
          <w:trHeight w:val="20"/>
        </w:trPr>
        <w:tc>
          <w:tcPr>
            <w:tcW w:w="2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599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INSIDE ECs </w:t>
            </w:r>
          </w:p>
        </w:tc>
      </w:tr>
      <w:tr w:rsidR="00236F50" w:rsidRPr="00236F50" w:rsidTr="00562937">
        <w:trPr>
          <w:trHeight w:val="20"/>
        </w:trPr>
        <w:tc>
          <w:tcPr>
            <w:tcW w:w="2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Families </w:t>
            </w:r>
          </w:p>
        </w:tc>
        <w:tc>
          <w:tcPr>
            <w:tcW w:w="129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Persons </w:t>
            </w:r>
          </w:p>
        </w:tc>
      </w:tr>
      <w:tr w:rsidR="00236F50" w:rsidRPr="00236F50" w:rsidTr="00562937">
        <w:trPr>
          <w:trHeight w:val="20"/>
        </w:trPr>
        <w:tc>
          <w:tcPr>
            <w:tcW w:w="2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CUM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NOW </w:t>
            </w:r>
          </w:p>
        </w:tc>
      </w:tr>
      <w:tr w:rsidR="00236F50" w:rsidRPr="00236F50" w:rsidTr="00562937">
        <w:trPr>
          <w:trHeight w:val="20"/>
        </w:trPr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</w:t>
            </w:r>
          </w:p>
        </w:tc>
      </w:tr>
      <w:tr w:rsidR="00236F50" w:rsidRPr="00236F50" w:rsidTr="00562937">
        <w:trPr>
          <w:trHeight w:val="20"/>
        </w:trPr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65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- </w:t>
            </w:r>
          </w:p>
        </w:tc>
      </w:tr>
      <w:tr w:rsidR="00236F50" w:rsidRPr="00236F50" w:rsidTr="00562937">
        <w:trPr>
          <w:trHeight w:val="20"/>
        </w:trPr>
        <w:tc>
          <w:tcPr>
            <w:tcW w:w="2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15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65 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F50" w:rsidRPr="00236F50" w:rsidRDefault="00236F50" w:rsidP="00236F5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36F50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- </w:t>
            </w:r>
          </w:p>
        </w:tc>
      </w:tr>
    </w:tbl>
    <w:p w:rsidR="00236F50" w:rsidRPr="004B352A" w:rsidRDefault="00236F50" w:rsidP="00562937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16"/>
          <w:szCs w:val="24"/>
        </w:rPr>
      </w:pPr>
      <w:r w:rsidRPr="004B352A">
        <w:rPr>
          <w:rFonts w:ascii="Arial" w:eastAsia="Arial" w:hAnsi="Arial" w:cs="Arial"/>
          <w:i/>
          <w:sz w:val="16"/>
          <w:szCs w:val="24"/>
        </w:rPr>
        <w:t xml:space="preserve">Note: </w:t>
      </w:r>
      <w:r>
        <w:rPr>
          <w:rFonts w:ascii="Arial" w:eastAsia="Arial" w:hAnsi="Arial" w:cs="Arial"/>
          <w:i/>
          <w:sz w:val="16"/>
          <w:szCs w:val="24"/>
        </w:rPr>
        <w:t xml:space="preserve">The decrease in the number of families and persons is based on the assessment and validation of Pasig City Social Welfare and Development Office. </w:t>
      </w:r>
    </w:p>
    <w:p w:rsidR="00E63760" w:rsidRPr="00236F50" w:rsidRDefault="006D5E7A" w:rsidP="00236F5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bookmarkStart w:id="3" w:name="_3znysh7" w:colFirst="0" w:colLast="0"/>
      <w:bookmarkEnd w:id="3"/>
      <w:r w:rsidRPr="00236F50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E63760" w:rsidRPr="004B352A" w:rsidRDefault="00E63760" w:rsidP="004B352A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color w:val="0070C0"/>
          <w:sz w:val="24"/>
          <w:szCs w:val="24"/>
        </w:rPr>
      </w:pPr>
    </w:p>
    <w:p w:rsidR="00E63760" w:rsidRDefault="006D5E7A" w:rsidP="0056293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62937">
        <w:rPr>
          <w:rFonts w:ascii="Arial" w:eastAsia="Arial" w:hAnsi="Arial" w:cs="Arial"/>
          <w:b/>
          <w:sz w:val="24"/>
          <w:szCs w:val="24"/>
        </w:rPr>
        <w:t>Damaged Houses</w:t>
      </w:r>
    </w:p>
    <w:p w:rsidR="002B774D" w:rsidRPr="002B774D" w:rsidRDefault="002B774D" w:rsidP="002B774D">
      <w:pPr>
        <w:spacing w:after="0" w:line="240" w:lineRule="auto"/>
        <w:ind w:left="450"/>
        <w:rPr>
          <w:rFonts w:ascii="Arial" w:eastAsia="Arial" w:hAnsi="Arial" w:cs="Arial"/>
          <w:sz w:val="24"/>
          <w:szCs w:val="24"/>
        </w:rPr>
      </w:pPr>
      <w:r w:rsidRPr="002B774D">
        <w:rPr>
          <w:rFonts w:ascii="Arial" w:eastAsia="Arial" w:hAnsi="Arial" w:cs="Arial"/>
          <w:b/>
          <w:color w:val="0070C0"/>
          <w:sz w:val="24"/>
          <w:szCs w:val="24"/>
        </w:rPr>
        <w:t>10 houses</w:t>
      </w:r>
      <w:r w:rsidRPr="002B774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B774D">
        <w:rPr>
          <w:rFonts w:ascii="Arial" w:eastAsia="Arial" w:hAnsi="Arial" w:cs="Arial"/>
          <w:sz w:val="24"/>
          <w:szCs w:val="24"/>
        </w:rPr>
        <w:t>were totally damaged by the fire (see Table 3).</w:t>
      </w:r>
    </w:p>
    <w:p w:rsidR="002B774D" w:rsidRDefault="002B774D" w:rsidP="002B774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B774D" w:rsidRPr="00236F50" w:rsidRDefault="002B774D" w:rsidP="002B774D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3</w:t>
      </w:r>
      <w:r w:rsidRPr="00236F50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>Number of Damaged Houses</w:t>
      </w:r>
    </w:p>
    <w:tbl>
      <w:tblPr>
        <w:tblW w:w="4724" w:type="pct"/>
        <w:tblInd w:w="535" w:type="dxa"/>
        <w:tblLook w:val="04A0" w:firstRow="1" w:lastRow="0" w:firstColumn="1" w:lastColumn="0" w:noHBand="0" w:noVBand="1"/>
      </w:tblPr>
      <w:tblGrid>
        <w:gridCol w:w="5670"/>
        <w:gridCol w:w="1075"/>
        <w:gridCol w:w="1141"/>
        <w:gridCol w:w="1314"/>
      </w:tblGrid>
      <w:tr w:rsidR="002B774D" w:rsidRPr="002B774D" w:rsidTr="002B774D">
        <w:trPr>
          <w:trHeight w:val="20"/>
          <w:tblHeader/>
        </w:trPr>
        <w:tc>
          <w:tcPr>
            <w:tcW w:w="30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 / PROVINCE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/ CITY</w:t>
            </w:r>
            <w:r w:rsidRPr="002B774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/ MUNICIPALITY </w:t>
            </w:r>
          </w:p>
        </w:tc>
        <w:tc>
          <w:tcPr>
            <w:tcW w:w="19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2B774D" w:rsidRPr="002B774D" w:rsidTr="002B774D">
        <w:trPr>
          <w:trHeight w:val="20"/>
          <w:tblHeader/>
        </w:trPr>
        <w:tc>
          <w:tcPr>
            <w:tcW w:w="30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2B774D" w:rsidRPr="002B774D" w:rsidTr="002B774D">
        <w:trPr>
          <w:trHeight w:val="20"/>
        </w:trPr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2B774D" w:rsidRPr="002B774D" w:rsidTr="002B774D">
        <w:trPr>
          <w:trHeight w:val="20"/>
        </w:trPr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</w:tr>
      <w:tr w:rsidR="002B774D" w:rsidRPr="002B774D" w:rsidTr="002B774D">
        <w:trPr>
          <w:trHeight w:val="20"/>
        </w:trPr>
        <w:tc>
          <w:tcPr>
            <w:tcW w:w="30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Pasig City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10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74D" w:rsidRPr="002B774D" w:rsidRDefault="002B774D" w:rsidP="002B774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2B774D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</w:t>
            </w:r>
          </w:p>
        </w:tc>
      </w:tr>
    </w:tbl>
    <w:p w:rsidR="002B774D" w:rsidRPr="00236F50" w:rsidRDefault="002B774D" w:rsidP="002B774D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2B774D" w:rsidRPr="00236F50" w:rsidRDefault="002B774D" w:rsidP="002B774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236F50">
        <w:rPr>
          <w:rFonts w:ascii="Arial" w:eastAsia="Arial" w:hAnsi="Arial" w:cs="Arial"/>
          <w:i/>
          <w:color w:val="0070C0"/>
          <w:sz w:val="16"/>
          <w:szCs w:val="16"/>
        </w:rPr>
        <w:t>Source: DSWD-FO NCR</w:t>
      </w:r>
    </w:p>
    <w:p w:rsidR="002B774D" w:rsidRPr="002B774D" w:rsidRDefault="002B774D" w:rsidP="002B774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2B774D" w:rsidRDefault="002B774D" w:rsidP="002B774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Cost of Assistance</w:t>
      </w:r>
    </w:p>
    <w:p w:rsidR="00E63760" w:rsidRPr="00F82FA1" w:rsidRDefault="006D5E7A" w:rsidP="002B774D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4" w:name="_GoBack"/>
      <w:r w:rsidRPr="00F82FA1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DA538D" w:rsidRPr="00F82FA1">
        <w:rPr>
          <w:rFonts w:ascii="Arial" w:eastAsia="Arial" w:hAnsi="Arial" w:cs="Arial"/>
          <w:b/>
          <w:color w:val="auto"/>
          <w:sz w:val="24"/>
          <w:szCs w:val="24"/>
        </w:rPr>
        <w:t>19,361.40</w:t>
      </w:r>
      <w:r w:rsidR="00AC1A4A" w:rsidRPr="00F82FA1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82FA1">
        <w:rPr>
          <w:rFonts w:ascii="Arial" w:eastAsia="Arial" w:hAnsi="Arial" w:cs="Arial"/>
          <w:b/>
          <w:color w:val="auto"/>
          <w:sz w:val="24"/>
          <w:szCs w:val="24"/>
        </w:rPr>
        <w:t>worth of assistance</w:t>
      </w:r>
      <w:r w:rsidRPr="00F82FA1">
        <w:rPr>
          <w:rFonts w:ascii="Arial" w:eastAsia="Arial" w:hAnsi="Arial" w:cs="Arial"/>
          <w:color w:val="auto"/>
          <w:sz w:val="24"/>
          <w:szCs w:val="24"/>
        </w:rPr>
        <w:t xml:space="preserve"> has been provided by the </w:t>
      </w:r>
      <w:r w:rsidR="00DA538D" w:rsidRPr="00F82FA1">
        <w:rPr>
          <w:rFonts w:ascii="Arial" w:eastAsia="Arial" w:hAnsi="Arial" w:cs="Arial"/>
          <w:color w:val="auto"/>
          <w:sz w:val="24"/>
          <w:szCs w:val="24"/>
        </w:rPr>
        <w:t xml:space="preserve">Department of Social Welfare and Development </w:t>
      </w:r>
      <w:r w:rsidRPr="00F82FA1">
        <w:rPr>
          <w:rFonts w:ascii="Arial" w:eastAsia="Arial" w:hAnsi="Arial" w:cs="Arial"/>
          <w:color w:val="auto"/>
          <w:sz w:val="24"/>
          <w:szCs w:val="24"/>
        </w:rPr>
        <w:t>to the affected families (</w:t>
      </w:r>
      <w:r w:rsidR="002B774D" w:rsidRPr="00F82FA1">
        <w:rPr>
          <w:rFonts w:ascii="Arial" w:eastAsia="Arial" w:hAnsi="Arial" w:cs="Arial"/>
          <w:color w:val="auto"/>
          <w:sz w:val="24"/>
          <w:szCs w:val="24"/>
        </w:rPr>
        <w:t>see Table 4</w:t>
      </w:r>
      <w:r w:rsidRPr="00F82FA1">
        <w:rPr>
          <w:rFonts w:ascii="Arial" w:eastAsia="Arial" w:hAnsi="Arial" w:cs="Arial"/>
          <w:color w:val="auto"/>
          <w:sz w:val="24"/>
          <w:szCs w:val="24"/>
        </w:rPr>
        <w:t>).</w:t>
      </w:r>
    </w:p>
    <w:bookmarkEnd w:id="4"/>
    <w:p w:rsidR="00E63760" w:rsidRPr="004B352A" w:rsidRDefault="00E63760" w:rsidP="004B352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63760" w:rsidRPr="002B774D" w:rsidRDefault="002B774D" w:rsidP="004B352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2B774D">
        <w:rPr>
          <w:rFonts w:ascii="Arial" w:eastAsia="Arial" w:hAnsi="Arial" w:cs="Arial"/>
          <w:b/>
          <w:i/>
          <w:sz w:val="20"/>
          <w:szCs w:val="24"/>
        </w:rPr>
        <w:t>Table 4</w:t>
      </w:r>
      <w:r w:rsidR="006D5E7A" w:rsidRPr="002B774D">
        <w:rPr>
          <w:rFonts w:ascii="Arial" w:eastAsia="Arial" w:hAnsi="Arial" w:cs="Arial"/>
          <w:b/>
          <w:i/>
          <w:sz w:val="20"/>
          <w:szCs w:val="24"/>
        </w:rPr>
        <w:t>. Cost of Assistance</w:t>
      </w:r>
    </w:p>
    <w:tbl>
      <w:tblPr>
        <w:tblStyle w:val="a1"/>
        <w:tblW w:w="9215" w:type="dxa"/>
        <w:tblInd w:w="534" w:type="dxa"/>
        <w:tblLayout w:type="fixed"/>
        <w:tblLook w:val="0400" w:firstRow="0" w:lastRow="0" w:firstColumn="0" w:lastColumn="0" w:noHBand="0" w:noVBand="1"/>
      </w:tblPr>
      <w:tblGrid>
        <w:gridCol w:w="3204"/>
        <w:gridCol w:w="1168"/>
        <w:gridCol w:w="1115"/>
        <w:gridCol w:w="910"/>
        <w:gridCol w:w="1111"/>
        <w:gridCol w:w="1707"/>
      </w:tblGrid>
      <w:tr w:rsidR="00E63760" w:rsidRPr="002B774D">
        <w:trPr>
          <w:trHeight w:val="20"/>
        </w:trPr>
        <w:tc>
          <w:tcPr>
            <w:tcW w:w="3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63760" w:rsidRPr="002B774D" w:rsidRDefault="006D5E7A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>REGION / PROVINCE /</w:t>
            </w:r>
            <w:r w:rsidR="002B774D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CITY /</w:t>
            </w: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MUNICIPALITY </w:t>
            </w:r>
          </w:p>
        </w:tc>
        <w:tc>
          <w:tcPr>
            <w:tcW w:w="60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63760" w:rsidRPr="002B774D" w:rsidRDefault="006D5E7A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TOTAL COST OF ASSISTANCE (PHP) </w:t>
            </w:r>
          </w:p>
        </w:tc>
      </w:tr>
      <w:tr w:rsidR="00E63760" w:rsidRPr="002B774D">
        <w:trPr>
          <w:trHeight w:val="20"/>
        </w:trPr>
        <w:tc>
          <w:tcPr>
            <w:tcW w:w="3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63760" w:rsidRPr="002B774D" w:rsidRDefault="00E63760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 Narrow" w:hAnsi="Arial" w:cs="Arial"/>
                <w:b/>
                <w:sz w:val="20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63760" w:rsidRPr="002B774D" w:rsidRDefault="006D5E7A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DSWD 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63760" w:rsidRPr="002B774D" w:rsidRDefault="006D5E7A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LGU </w:t>
            </w:r>
          </w:p>
        </w:tc>
        <w:tc>
          <w:tcPr>
            <w:tcW w:w="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63760" w:rsidRPr="002B774D" w:rsidRDefault="006D5E7A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NGOs </w:t>
            </w:r>
          </w:p>
        </w:tc>
        <w:tc>
          <w:tcPr>
            <w:tcW w:w="11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63760" w:rsidRPr="002B774D" w:rsidRDefault="006D5E7A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OTHERS </w:t>
            </w:r>
          </w:p>
        </w:tc>
        <w:tc>
          <w:tcPr>
            <w:tcW w:w="1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E63760" w:rsidRPr="002B774D" w:rsidRDefault="006D5E7A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 GRAND TOTAL </w:t>
            </w:r>
          </w:p>
        </w:tc>
      </w:tr>
      <w:tr w:rsidR="00E63760" w:rsidRPr="002B774D">
        <w:trPr>
          <w:trHeight w:val="2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E63760" w:rsidRPr="002B774D" w:rsidRDefault="006D5E7A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>GRAND TOTAL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E63760" w:rsidRPr="002B774D" w:rsidRDefault="002C71D7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right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>19,361.40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E63760" w:rsidRPr="002B774D" w:rsidRDefault="002B774D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right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>
              <w:rPr>
                <w:rFonts w:ascii="Arial" w:eastAsia="Arial Narrow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E63760" w:rsidRPr="002B774D" w:rsidRDefault="006D5E7A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right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E63760" w:rsidRPr="002B774D" w:rsidRDefault="006D5E7A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right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5A5A5"/>
            <w:vAlign w:val="center"/>
          </w:tcPr>
          <w:p w:rsidR="00E63760" w:rsidRPr="002B774D" w:rsidRDefault="002C71D7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right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>19,361.40</w:t>
            </w:r>
          </w:p>
        </w:tc>
      </w:tr>
      <w:tr w:rsidR="00E63760" w:rsidRPr="002B774D">
        <w:trPr>
          <w:trHeight w:val="20"/>
        </w:trPr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63760" w:rsidRPr="002B774D" w:rsidRDefault="006D5E7A" w:rsidP="004B35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>NCR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63760" w:rsidRPr="002B774D" w:rsidRDefault="002C71D7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right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>19,361.40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63760" w:rsidRPr="002B774D" w:rsidRDefault="002B774D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right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>
              <w:rPr>
                <w:rFonts w:ascii="Arial" w:eastAsia="Arial Narrow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63760" w:rsidRPr="002B774D" w:rsidRDefault="006D5E7A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right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63760" w:rsidRPr="002B774D" w:rsidRDefault="006D5E7A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right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>-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63760" w:rsidRPr="002B774D" w:rsidRDefault="002C71D7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right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b/>
                <w:sz w:val="20"/>
                <w:szCs w:val="24"/>
              </w:rPr>
              <w:t>19,361.40</w:t>
            </w:r>
          </w:p>
        </w:tc>
      </w:tr>
      <w:tr w:rsidR="002B774D" w:rsidRPr="002B774D" w:rsidTr="003975C9">
        <w:trPr>
          <w:trHeight w:val="20"/>
        </w:trPr>
        <w:tc>
          <w:tcPr>
            <w:tcW w:w="32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D" w:rsidRPr="002B774D" w:rsidRDefault="002B774D" w:rsidP="004B35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rPr>
                <w:rFonts w:ascii="Arial" w:eastAsia="Arial Narrow" w:hAnsi="Arial" w:cs="Arial"/>
                <w:i/>
                <w:sz w:val="20"/>
                <w:szCs w:val="24"/>
              </w:rPr>
            </w:pPr>
            <w:r>
              <w:rPr>
                <w:rFonts w:ascii="Arial" w:eastAsia="Arial Narrow" w:hAnsi="Arial" w:cs="Arial"/>
                <w:i/>
                <w:sz w:val="20"/>
                <w:szCs w:val="24"/>
              </w:rPr>
              <w:t>Pasig</w:t>
            </w:r>
            <w:r w:rsidRPr="002B774D">
              <w:rPr>
                <w:rFonts w:ascii="Arial" w:eastAsia="Arial Narrow" w:hAnsi="Arial" w:cs="Arial"/>
                <w:i/>
                <w:sz w:val="20"/>
                <w:szCs w:val="24"/>
              </w:rPr>
              <w:t xml:space="preserve"> City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D" w:rsidRPr="002B774D" w:rsidRDefault="002B774D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right"/>
              <w:rPr>
                <w:rFonts w:ascii="Arial" w:eastAsia="Arial Narrow" w:hAnsi="Arial" w:cs="Arial"/>
                <w:i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i/>
                <w:sz w:val="20"/>
                <w:szCs w:val="24"/>
              </w:rPr>
              <w:t>19,361.40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D" w:rsidRPr="002B774D" w:rsidRDefault="002B774D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right"/>
              <w:rPr>
                <w:rFonts w:ascii="Arial" w:eastAsia="Arial Narrow" w:hAnsi="Arial" w:cs="Arial"/>
                <w:i/>
                <w:sz w:val="20"/>
                <w:szCs w:val="24"/>
              </w:rPr>
            </w:pPr>
            <w:r>
              <w:rPr>
                <w:rFonts w:ascii="Arial" w:eastAsia="Arial Narrow" w:hAnsi="Arial" w:cs="Arial"/>
                <w:i/>
                <w:sz w:val="20"/>
                <w:szCs w:val="24"/>
              </w:rPr>
              <w:t>-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D" w:rsidRPr="002B774D" w:rsidRDefault="002B774D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right"/>
              <w:rPr>
                <w:rFonts w:ascii="Arial" w:eastAsia="Arial Narrow" w:hAnsi="Arial" w:cs="Arial"/>
                <w:i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i/>
                <w:sz w:val="20"/>
                <w:szCs w:val="24"/>
              </w:rPr>
              <w:t>-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D" w:rsidRPr="002B774D" w:rsidRDefault="002B774D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right"/>
              <w:rPr>
                <w:rFonts w:ascii="Arial" w:eastAsia="Arial Narrow" w:hAnsi="Arial" w:cs="Arial"/>
                <w:i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i/>
                <w:sz w:val="20"/>
                <w:szCs w:val="24"/>
              </w:rPr>
              <w:t>-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74D" w:rsidRPr="002B774D" w:rsidRDefault="002B774D" w:rsidP="004B352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right"/>
              <w:rPr>
                <w:rFonts w:ascii="Arial" w:eastAsia="Arial Narrow" w:hAnsi="Arial" w:cs="Arial"/>
                <w:i/>
                <w:sz w:val="20"/>
                <w:szCs w:val="24"/>
              </w:rPr>
            </w:pPr>
            <w:r w:rsidRPr="002B774D">
              <w:rPr>
                <w:rFonts w:ascii="Arial" w:eastAsia="Arial Narrow" w:hAnsi="Arial" w:cs="Arial"/>
                <w:i/>
                <w:sz w:val="20"/>
                <w:szCs w:val="24"/>
              </w:rPr>
              <w:t>19,361.40</w:t>
            </w:r>
          </w:p>
        </w:tc>
      </w:tr>
    </w:tbl>
    <w:p w:rsidR="002B774D" w:rsidRDefault="002B774D" w:rsidP="004B35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E63760" w:rsidRPr="002B774D" w:rsidRDefault="006D5E7A" w:rsidP="004B352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B774D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:rsidR="00E63760" w:rsidRPr="004B352A" w:rsidRDefault="00E63760" w:rsidP="004B352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63760" w:rsidRPr="004B352A" w:rsidRDefault="00E63760" w:rsidP="004B352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63760" w:rsidRPr="00236F50" w:rsidRDefault="006D5E7A" w:rsidP="004B352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36F50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E63760" w:rsidRPr="004B352A" w:rsidRDefault="00E63760" w:rsidP="004B352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E63760" w:rsidRPr="004B352A" w:rsidRDefault="006D5E7A" w:rsidP="004B352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352A">
        <w:rPr>
          <w:rFonts w:ascii="Arial" w:eastAsia="Arial" w:hAnsi="Arial" w:cs="Arial"/>
          <w:b/>
          <w:sz w:val="24"/>
          <w:szCs w:val="24"/>
        </w:rPr>
        <w:t>DSWD-</w:t>
      </w:r>
      <w:proofErr w:type="spellStart"/>
      <w:r w:rsidRPr="004B352A">
        <w:rPr>
          <w:rFonts w:ascii="Arial" w:eastAsia="Arial" w:hAnsi="Arial" w:cs="Arial"/>
          <w:b/>
          <w:sz w:val="24"/>
          <w:szCs w:val="24"/>
        </w:rPr>
        <w:t>DReAMB</w:t>
      </w:r>
      <w:proofErr w:type="spellEnd"/>
    </w:p>
    <w:tbl>
      <w:tblPr>
        <w:tblStyle w:val="a2"/>
        <w:tblW w:w="9737" w:type="dxa"/>
        <w:tblLayout w:type="fixed"/>
        <w:tblLook w:val="0400" w:firstRow="0" w:lastRow="0" w:firstColumn="0" w:lastColumn="0" w:noHBand="0" w:noVBand="1"/>
      </w:tblPr>
      <w:tblGrid>
        <w:gridCol w:w="1568"/>
        <w:gridCol w:w="8169"/>
      </w:tblGrid>
      <w:tr w:rsidR="00E63760" w:rsidRPr="00236F50">
        <w:trPr>
          <w:trHeight w:val="20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3760" w:rsidRPr="00236F50" w:rsidRDefault="006D5E7A" w:rsidP="004B35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36F5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3760" w:rsidRPr="00236F50" w:rsidRDefault="006D5E7A" w:rsidP="004B35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236F5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B774D" w:rsidRPr="002B774D">
        <w:trPr>
          <w:trHeight w:val="20"/>
        </w:trPr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3760" w:rsidRPr="002B774D" w:rsidRDefault="00451272" w:rsidP="004B35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2B774D">
              <w:rPr>
                <w:rFonts w:ascii="Arial" w:eastAsia="Arial" w:hAnsi="Arial" w:cs="Arial"/>
                <w:color w:val="auto"/>
                <w:sz w:val="20"/>
                <w:szCs w:val="24"/>
              </w:rPr>
              <w:t>27 February 2018</w:t>
            </w:r>
            <w:r w:rsidR="006D5E7A" w:rsidRPr="002B774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8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3760" w:rsidRPr="002B774D" w:rsidRDefault="006D5E7A" w:rsidP="004B352A">
            <w:pPr>
              <w:widowControl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8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2B774D">
              <w:rPr>
                <w:rFonts w:ascii="Arial" w:eastAsia="Arial" w:hAnsi="Arial" w:cs="Arial"/>
                <w:color w:val="auto"/>
                <w:sz w:val="20"/>
                <w:szCs w:val="24"/>
              </w:rPr>
              <w:t>The Disaster Response Operations Monitoring and Information Center (DROMIC) of the DSWD-</w:t>
            </w:r>
            <w:proofErr w:type="spellStart"/>
            <w:r w:rsidRPr="002B774D">
              <w:rPr>
                <w:rFonts w:ascii="Arial" w:eastAsia="Arial" w:hAnsi="Arial" w:cs="Arial"/>
                <w:color w:val="auto"/>
                <w:sz w:val="20"/>
                <w:szCs w:val="24"/>
              </w:rPr>
              <w:t>DReAMB</w:t>
            </w:r>
            <w:proofErr w:type="spellEnd"/>
            <w:r w:rsidRPr="002B774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is continuously coordinating with DSWD-FO NCR for significant reports on the status of displacement, assistance, and relief efforts.</w:t>
            </w:r>
          </w:p>
        </w:tc>
      </w:tr>
    </w:tbl>
    <w:p w:rsidR="00E63760" w:rsidRPr="004B352A" w:rsidRDefault="00E63760" w:rsidP="004B352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E63760" w:rsidRPr="004B352A" w:rsidRDefault="006D5E7A" w:rsidP="004B352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4B352A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93777C" w:rsidRPr="004B352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a3"/>
        <w:tblW w:w="9737" w:type="dxa"/>
        <w:tblLayout w:type="fixed"/>
        <w:tblLook w:val="0400" w:firstRow="0" w:lastRow="0" w:firstColumn="0" w:lastColumn="0" w:noHBand="0" w:noVBand="1"/>
      </w:tblPr>
      <w:tblGrid>
        <w:gridCol w:w="1525"/>
        <w:gridCol w:w="8212"/>
      </w:tblGrid>
      <w:tr w:rsidR="00E63760" w:rsidRPr="00236F50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3760" w:rsidRPr="00236F50" w:rsidRDefault="006D5E7A" w:rsidP="004B35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36F5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3760" w:rsidRPr="00236F50" w:rsidRDefault="006D5E7A" w:rsidP="004B35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36F5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2B774D" w:rsidRPr="00236F50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774D" w:rsidRPr="00236F50" w:rsidRDefault="002B774D" w:rsidP="004B35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16 July 2018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774D" w:rsidRDefault="002B774D" w:rsidP="004B352A">
            <w:pPr>
              <w:widowControl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5"/>
              </w:tabs>
              <w:spacing w:after="0" w:line="240" w:lineRule="auto"/>
              <w:ind w:left="315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Pasig City Social Welfare and Development Office will continuously assist and provide necessary support to the affected victims until they recover from the incident.</w:t>
            </w:r>
          </w:p>
          <w:p w:rsidR="002B774D" w:rsidRDefault="002B774D" w:rsidP="004B352A">
            <w:pPr>
              <w:widowControl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5"/>
              </w:tabs>
              <w:spacing w:after="0" w:line="240" w:lineRule="auto"/>
              <w:ind w:left="315" w:hanging="28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NCR submitted their </w:t>
            </w:r>
            <w:r w:rsidRPr="002B774D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  <w:tr w:rsidR="002B774D" w:rsidRPr="002B774D">
        <w:trPr>
          <w:trHeight w:val="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3760" w:rsidRPr="002B774D" w:rsidRDefault="00451272" w:rsidP="004B352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2B774D">
              <w:rPr>
                <w:rFonts w:ascii="Arial" w:eastAsia="Arial" w:hAnsi="Arial" w:cs="Arial"/>
                <w:color w:val="auto"/>
                <w:sz w:val="20"/>
                <w:szCs w:val="24"/>
              </w:rPr>
              <w:t>27 February 2018</w:t>
            </w:r>
          </w:p>
        </w:tc>
        <w:tc>
          <w:tcPr>
            <w:tcW w:w="8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E63760" w:rsidRPr="002B774D" w:rsidRDefault="002B774D" w:rsidP="004B352A">
            <w:pPr>
              <w:widowControl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35"/>
              </w:tabs>
              <w:spacing w:after="0" w:line="240" w:lineRule="auto"/>
              <w:ind w:left="315" w:hanging="283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bookmarkStart w:id="5" w:name="_2et92p0" w:colFirst="0" w:colLast="0"/>
            <w:bookmarkEnd w:id="5"/>
            <w:r w:rsidRPr="002B774D">
              <w:rPr>
                <w:rFonts w:ascii="Arial" w:eastAsia="Arial" w:hAnsi="Arial" w:cs="Arial"/>
                <w:color w:val="auto"/>
                <w:sz w:val="20"/>
                <w:szCs w:val="24"/>
              </w:rPr>
              <w:t>DSWD-FO NCR</w:t>
            </w:r>
            <w:r w:rsidR="005D5411" w:rsidRPr="002B774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C243F4" w:rsidRPr="002B774D">
              <w:rPr>
                <w:rFonts w:ascii="Arial" w:eastAsia="Arial" w:hAnsi="Arial" w:cs="Arial"/>
                <w:color w:val="auto"/>
                <w:sz w:val="20"/>
                <w:szCs w:val="24"/>
              </w:rPr>
              <w:t>facilitated</w:t>
            </w:r>
            <w:r w:rsidR="005D5411" w:rsidRPr="002B774D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the provision of 30 family food packs, 30 mats, and 30 blankets thru the request of Pasig City Social Welfare and Development Office</w:t>
            </w:r>
            <w:r w:rsidR="00FC7D78" w:rsidRPr="002B774D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:rsidR="00E63760" w:rsidRPr="004B352A" w:rsidRDefault="00E63760" w:rsidP="004B352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E63760" w:rsidRPr="004B352A" w:rsidRDefault="00E63760" w:rsidP="004B352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236F50" w:rsidRDefault="00236F50" w:rsidP="004B352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4"/>
        </w:rPr>
      </w:pPr>
    </w:p>
    <w:p w:rsidR="00236F50" w:rsidRDefault="00236F50" w:rsidP="004B352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E63760" w:rsidRPr="004B352A" w:rsidRDefault="008608AA" w:rsidP="004B352A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4B352A">
        <w:rPr>
          <w:rFonts w:ascii="Arial" w:eastAsia="Arial" w:hAnsi="Arial" w:cs="Arial"/>
          <w:sz w:val="24"/>
          <w:szCs w:val="24"/>
        </w:rPr>
        <w:br/>
      </w:r>
      <w:r w:rsidR="00236F50">
        <w:rPr>
          <w:rFonts w:ascii="Arial" w:eastAsia="Arial" w:hAnsi="Arial" w:cs="Arial"/>
          <w:b/>
          <w:sz w:val="24"/>
          <w:szCs w:val="24"/>
        </w:rPr>
        <w:t>MARC LEO L. BUTAC</w:t>
      </w:r>
    </w:p>
    <w:p w:rsidR="00E63760" w:rsidRPr="004B352A" w:rsidRDefault="00236F50" w:rsidP="004B352A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E63760" w:rsidRPr="004B352A" w:rsidSect="00436CC3">
      <w:headerReference w:type="default" r:id="rId7"/>
      <w:footerReference w:type="default" r:id="rId8"/>
      <w:pgSz w:w="11907" w:h="16839"/>
      <w:pgMar w:top="720" w:right="1080" w:bottom="720" w:left="1080" w:header="36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0CB" w:rsidRDefault="003320CB">
      <w:pPr>
        <w:spacing w:after="0" w:line="240" w:lineRule="auto"/>
      </w:pPr>
      <w:r>
        <w:separator/>
      </w:r>
    </w:p>
  </w:endnote>
  <w:endnote w:type="continuationSeparator" w:id="0">
    <w:p w:rsidR="003320CB" w:rsidRDefault="00332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760" w:rsidRDefault="00E6376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E63760" w:rsidRDefault="006D5E7A" w:rsidP="008A5DA4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82FA1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82FA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8A5DA4" w:rsidRPr="008A5DA4">
      <w:rPr>
        <w:rFonts w:ascii="Arial" w:eastAsia="Arial" w:hAnsi="Arial" w:cs="Arial"/>
        <w:sz w:val="14"/>
        <w:szCs w:val="14"/>
      </w:rPr>
      <w:t xml:space="preserve">DSWD DROMIC </w:t>
    </w:r>
    <w:r w:rsidR="004B352A">
      <w:rPr>
        <w:rFonts w:ascii="Arial" w:eastAsia="Arial" w:hAnsi="Arial" w:cs="Arial"/>
        <w:sz w:val="14"/>
        <w:szCs w:val="14"/>
      </w:rPr>
      <w:t xml:space="preserve">Terminal </w:t>
    </w:r>
    <w:r w:rsidR="008A5DA4" w:rsidRPr="008A5DA4">
      <w:rPr>
        <w:rFonts w:ascii="Arial" w:eastAsia="Arial" w:hAnsi="Arial" w:cs="Arial"/>
        <w:sz w:val="14"/>
        <w:szCs w:val="14"/>
      </w:rPr>
      <w:t xml:space="preserve">Report on the Fire Incident in </w:t>
    </w:r>
    <w:proofErr w:type="spellStart"/>
    <w:r w:rsidR="008A5DA4" w:rsidRPr="008A5DA4">
      <w:rPr>
        <w:rFonts w:ascii="Arial" w:eastAsia="Arial" w:hAnsi="Arial" w:cs="Arial"/>
        <w:sz w:val="14"/>
        <w:szCs w:val="14"/>
      </w:rPr>
      <w:t>Nagpayong</w:t>
    </w:r>
    <w:proofErr w:type="spellEnd"/>
    <w:r w:rsidR="008A5DA4" w:rsidRPr="008A5DA4">
      <w:rPr>
        <w:rFonts w:ascii="Arial" w:eastAsia="Arial" w:hAnsi="Arial" w:cs="Arial"/>
        <w:sz w:val="14"/>
        <w:szCs w:val="14"/>
      </w:rPr>
      <w:t xml:space="preserve"> </w:t>
    </w:r>
    <w:r w:rsidR="008A5DA4">
      <w:rPr>
        <w:rFonts w:ascii="Arial" w:eastAsia="Arial" w:hAnsi="Arial" w:cs="Arial"/>
        <w:sz w:val="14"/>
        <w:szCs w:val="14"/>
      </w:rPr>
      <w:t xml:space="preserve">I, </w:t>
    </w:r>
    <w:proofErr w:type="spellStart"/>
    <w:r w:rsidR="004B352A">
      <w:rPr>
        <w:rFonts w:ascii="Arial" w:eastAsia="Arial" w:hAnsi="Arial" w:cs="Arial"/>
        <w:sz w:val="14"/>
        <w:szCs w:val="14"/>
      </w:rPr>
      <w:t>Brgy</w:t>
    </w:r>
    <w:proofErr w:type="spellEnd"/>
    <w:r w:rsidR="004B352A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4B352A">
      <w:rPr>
        <w:rFonts w:ascii="Arial" w:eastAsia="Arial" w:hAnsi="Arial" w:cs="Arial"/>
        <w:sz w:val="14"/>
        <w:szCs w:val="14"/>
      </w:rPr>
      <w:t>Pinagbuhatan</w:t>
    </w:r>
    <w:proofErr w:type="spellEnd"/>
    <w:r w:rsidR="004B352A">
      <w:rPr>
        <w:rFonts w:ascii="Arial" w:eastAsia="Arial" w:hAnsi="Arial" w:cs="Arial"/>
        <w:sz w:val="14"/>
        <w:szCs w:val="14"/>
      </w:rPr>
      <w:t>,</w:t>
    </w:r>
    <w:r w:rsidR="008A5DA4" w:rsidRPr="008A5DA4">
      <w:rPr>
        <w:rFonts w:ascii="Arial" w:eastAsia="Arial" w:hAnsi="Arial" w:cs="Arial"/>
        <w:sz w:val="14"/>
        <w:szCs w:val="14"/>
      </w:rPr>
      <w:t xml:space="preserve"> Pasig City</w:t>
    </w:r>
    <w:r w:rsidR="004B352A">
      <w:rPr>
        <w:rFonts w:ascii="Arial" w:eastAsia="Arial" w:hAnsi="Arial" w:cs="Arial"/>
        <w:sz w:val="14"/>
        <w:szCs w:val="14"/>
      </w:rPr>
      <w:t>,</w:t>
    </w:r>
    <w:r w:rsidR="008A5DA4">
      <w:rPr>
        <w:rFonts w:ascii="Arial" w:eastAsia="Arial" w:hAnsi="Arial" w:cs="Arial"/>
        <w:sz w:val="14"/>
        <w:szCs w:val="14"/>
      </w:rPr>
      <w:t xml:space="preserve"> </w:t>
    </w:r>
    <w:r w:rsidR="004B352A">
      <w:rPr>
        <w:rFonts w:ascii="Arial" w:eastAsia="Arial" w:hAnsi="Arial" w:cs="Arial"/>
        <w:sz w:val="14"/>
        <w:szCs w:val="14"/>
      </w:rPr>
      <w:t xml:space="preserve">16 July </w:t>
    </w:r>
    <w:r w:rsidR="008A5DA4" w:rsidRPr="008A5DA4">
      <w:rPr>
        <w:rFonts w:ascii="Arial" w:eastAsia="Arial" w:hAnsi="Arial" w:cs="Arial"/>
        <w:sz w:val="14"/>
        <w:szCs w:val="14"/>
      </w:rPr>
      <w:t xml:space="preserve">2018, </w:t>
    </w:r>
    <w:r w:rsidR="004B352A">
      <w:rPr>
        <w:rFonts w:ascii="Arial" w:eastAsia="Arial" w:hAnsi="Arial" w:cs="Arial"/>
        <w:sz w:val="14"/>
        <w:szCs w:val="14"/>
      </w:rPr>
      <w:t>6</w:t>
    </w:r>
    <w:r w:rsidR="008A5DA4" w:rsidRPr="008A5DA4">
      <w:rPr>
        <w:rFonts w:ascii="Arial" w:eastAsia="Arial" w:hAnsi="Arial" w:cs="Arial"/>
        <w:sz w:val="14"/>
        <w:szCs w:val="14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0CB" w:rsidRDefault="003320CB">
      <w:pPr>
        <w:spacing w:after="0" w:line="240" w:lineRule="auto"/>
      </w:pPr>
      <w:r>
        <w:separator/>
      </w:r>
    </w:p>
  </w:footnote>
  <w:footnote w:type="continuationSeparator" w:id="0">
    <w:p w:rsidR="003320CB" w:rsidRDefault="00332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52A" w:rsidRDefault="004B352A" w:rsidP="004B352A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7B7B3F" wp14:editId="63341B1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52A" w:rsidRDefault="004B352A" w:rsidP="004B352A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0FF4CB1" wp14:editId="3D2E0342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B352A" w:rsidRDefault="004B352A" w:rsidP="004B352A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E63760" w:rsidRPr="004B352A" w:rsidRDefault="00E63760" w:rsidP="004B3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A48EB"/>
    <w:multiLevelType w:val="hybridMultilevel"/>
    <w:tmpl w:val="DEC23350"/>
    <w:lvl w:ilvl="0" w:tplc="9DC054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3FB011C"/>
    <w:multiLevelType w:val="multilevel"/>
    <w:tmpl w:val="99D651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03D1317"/>
    <w:multiLevelType w:val="hybridMultilevel"/>
    <w:tmpl w:val="062C17E0"/>
    <w:lvl w:ilvl="0" w:tplc="3409000F">
      <w:start w:val="1"/>
      <w:numFmt w:val="decimal"/>
      <w:lvlText w:val="%1."/>
      <w:lvlJc w:val="left"/>
      <w:pPr>
        <w:ind w:left="862" w:hanging="360"/>
      </w:p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4E8B6394"/>
    <w:multiLevelType w:val="hybridMultilevel"/>
    <w:tmpl w:val="F7C4DC02"/>
    <w:lvl w:ilvl="0" w:tplc="9DC054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22" w:hanging="360"/>
      </w:p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FB2745F"/>
    <w:multiLevelType w:val="multilevel"/>
    <w:tmpl w:val="5DA036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60"/>
    <w:rsid w:val="000539A1"/>
    <w:rsid w:val="000D7D72"/>
    <w:rsid w:val="001430B9"/>
    <w:rsid w:val="00161AC5"/>
    <w:rsid w:val="00206036"/>
    <w:rsid w:val="00236F50"/>
    <w:rsid w:val="0027304D"/>
    <w:rsid w:val="002B774D"/>
    <w:rsid w:val="002C71D7"/>
    <w:rsid w:val="003178F2"/>
    <w:rsid w:val="003320CB"/>
    <w:rsid w:val="00342F42"/>
    <w:rsid w:val="003D17E6"/>
    <w:rsid w:val="00436CC3"/>
    <w:rsid w:val="00451272"/>
    <w:rsid w:val="004975C2"/>
    <w:rsid w:val="004B352A"/>
    <w:rsid w:val="004B4B28"/>
    <w:rsid w:val="00515DAE"/>
    <w:rsid w:val="00545951"/>
    <w:rsid w:val="00562937"/>
    <w:rsid w:val="005D5411"/>
    <w:rsid w:val="00621356"/>
    <w:rsid w:val="006224FD"/>
    <w:rsid w:val="00672475"/>
    <w:rsid w:val="006958C7"/>
    <w:rsid w:val="006D5E7A"/>
    <w:rsid w:val="006F4D8A"/>
    <w:rsid w:val="0071747F"/>
    <w:rsid w:val="0076264F"/>
    <w:rsid w:val="0083125C"/>
    <w:rsid w:val="008608AA"/>
    <w:rsid w:val="00895A9F"/>
    <w:rsid w:val="008A5DA4"/>
    <w:rsid w:val="008A78FA"/>
    <w:rsid w:val="0093777C"/>
    <w:rsid w:val="009B7BCB"/>
    <w:rsid w:val="00A821D8"/>
    <w:rsid w:val="00AC1A4A"/>
    <w:rsid w:val="00AD293C"/>
    <w:rsid w:val="00B9391B"/>
    <w:rsid w:val="00BB6B46"/>
    <w:rsid w:val="00C173DF"/>
    <w:rsid w:val="00C243F4"/>
    <w:rsid w:val="00CD7F51"/>
    <w:rsid w:val="00CE51A1"/>
    <w:rsid w:val="00DA538D"/>
    <w:rsid w:val="00E63760"/>
    <w:rsid w:val="00ED3415"/>
    <w:rsid w:val="00F82FA1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ABA0EF-FB92-4BCD-A514-B0B0E8A6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DA4"/>
  </w:style>
  <w:style w:type="paragraph" w:styleId="Footer">
    <w:name w:val="footer"/>
    <w:basedOn w:val="Normal"/>
    <w:link w:val="FooterChar"/>
    <w:uiPriority w:val="99"/>
    <w:unhideWhenUsed/>
    <w:rsid w:val="008A5D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DA4"/>
  </w:style>
  <w:style w:type="paragraph" w:styleId="ListParagraph">
    <w:name w:val="List Paragraph"/>
    <w:basedOn w:val="Normal"/>
    <w:uiPriority w:val="34"/>
    <w:qFormat/>
    <w:rsid w:val="00562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Marc Leo L. Butac</cp:lastModifiedBy>
  <cp:revision>7</cp:revision>
  <dcterms:created xsi:type="dcterms:W3CDTF">2018-02-27T04:24:00Z</dcterms:created>
  <dcterms:modified xsi:type="dcterms:W3CDTF">2018-07-16T10:28:00Z</dcterms:modified>
</cp:coreProperties>
</file>