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32"/>
          <w:szCs w:val="32"/>
        </w:rPr>
        <w:t>DSWD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DROMIC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A81C78">
        <w:rPr>
          <w:rFonts w:ascii="Arial" w:eastAsia="Arial" w:hAnsi="Arial" w:cs="Arial"/>
          <w:b/>
          <w:sz w:val="32"/>
          <w:szCs w:val="32"/>
        </w:rPr>
        <w:t xml:space="preserve">Preparedness for Response </w:t>
      </w:r>
      <w:r>
        <w:rPr>
          <w:rFonts w:ascii="Arial" w:eastAsia="Arial" w:hAnsi="Arial" w:cs="Arial"/>
          <w:b/>
          <w:sz w:val="32"/>
          <w:szCs w:val="32"/>
        </w:rPr>
        <w:t>Report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#</w:t>
      </w:r>
      <w:r w:rsidR="00A81C78">
        <w:rPr>
          <w:rFonts w:ascii="Arial" w:eastAsia="Arial" w:hAnsi="Arial" w:cs="Arial"/>
          <w:b/>
          <w:sz w:val="32"/>
          <w:szCs w:val="32"/>
        </w:rPr>
        <w:t>1</w:t>
      </w:r>
    </w:p>
    <w:p w:rsidR="00155355" w:rsidRPr="00A81C78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32"/>
          <w:highlight w:val="white"/>
        </w:rPr>
      </w:pPr>
      <w:r>
        <w:rPr>
          <w:rFonts w:ascii="Arial" w:eastAsia="Arial" w:hAnsi="Arial" w:cs="Arial"/>
          <w:b/>
          <w:sz w:val="32"/>
          <w:szCs w:val="32"/>
        </w:rPr>
        <w:t>on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>
        <w:rPr>
          <w:rFonts w:ascii="Arial" w:eastAsia="Arial" w:hAnsi="Arial" w:cs="Arial"/>
          <w:b/>
          <w:sz w:val="32"/>
          <w:szCs w:val="32"/>
        </w:rPr>
        <w:t>the</w:t>
      </w:r>
      <w:r w:rsidR="00546DEE">
        <w:rPr>
          <w:rFonts w:ascii="Arial" w:eastAsia="Arial" w:hAnsi="Arial" w:cs="Arial"/>
          <w:b/>
          <w:sz w:val="32"/>
          <w:szCs w:val="32"/>
        </w:rPr>
        <w:t xml:space="preserve"> </w:t>
      </w:r>
      <w:r w:rsidR="00E44A9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Low Pressure Area</w:t>
      </w:r>
      <w:r w:rsidR="00DA0433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s</w:t>
      </w:r>
      <w:r w:rsidR="00E44A97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 xml:space="preserve"> </w:t>
      </w:r>
      <w:r w:rsidR="00B932C1">
        <w:rPr>
          <w:rFonts w:ascii="Arial" w:eastAsia="Arial" w:hAnsi="Arial" w:cs="Arial"/>
          <w:b/>
          <w:color w:val="222222"/>
          <w:sz w:val="32"/>
          <w:szCs w:val="32"/>
          <w:highlight w:val="white"/>
        </w:rPr>
        <w:t>[June 2018]</w:t>
      </w:r>
    </w:p>
    <w:p w:rsidR="00155355" w:rsidRDefault="003D09A9" w:rsidP="00B932C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B932C1">
        <w:rPr>
          <w:rFonts w:ascii="Arial" w:eastAsia="Arial" w:hAnsi="Arial" w:cs="Arial"/>
          <w:sz w:val="24"/>
          <w:szCs w:val="24"/>
        </w:rPr>
        <w:t>3</w:t>
      </w:r>
      <w:r w:rsidR="003B1652">
        <w:rPr>
          <w:rFonts w:ascii="Arial" w:eastAsia="Arial" w:hAnsi="Arial" w:cs="Arial"/>
          <w:sz w:val="24"/>
          <w:szCs w:val="24"/>
        </w:rPr>
        <w:t xml:space="preserve"> </w:t>
      </w:r>
      <w:r w:rsidR="00B932C1">
        <w:rPr>
          <w:rFonts w:ascii="Arial" w:eastAsia="Arial" w:hAnsi="Arial" w:cs="Arial"/>
          <w:sz w:val="24"/>
          <w:szCs w:val="24"/>
        </w:rPr>
        <w:t>June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2018,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 w:rsidR="000E09D8">
        <w:rPr>
          <w:rFonts w:ascii="Arial" w:eastAsia="Arial" w:hAnsi="Arial" w:cs="Arial"/>
          <w:sz w:val="24"/>
          <w:szCs w:val="24"/>
        </w:rPr>
        <w:t>9</w:t>
      </w:r>
      <w:r w:rsidR="00B932C1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</w:p>
    <w:p w:rsidR="008F5D6F" w:rsidRDefault="008F5D6F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A81C78" w:rsidRPr="00B932C1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color w:val="0070C0"/>
        </w:rPr>
      </w:pPr>
    </w:p>
    <w:p w:rsidR="00A81C78" w:rsidRPr="00FF5B80" w:rsidRDefault="00A81C78" w:rsidP="00B932C1">
      <w:pPr>
        <w:pStyle w:val="NormalWeb"/>
        <w:spacing w:beforeAutospacing="0" w:afterAutospacing="0" w:line="240" w:lineRule="auto"/>
        <w:jc w:val="both"/>
        <w:rPr>
          <w:rFonts w:ascii="Arial" w:hAnsi="Arial" w:cs="Arial"/>
          <w:b/>
          <w:color w:val="002060"/>
          <w:sz w:val="28"/>
        </w:rPr>
      </w:pPr>
      <w:r w:rsidRPr="00FF5B80">
        <w:rPr>
          <w:rFonts w:ascii="Arial" w:hAnsi="Arial" w:cs="Arial"/>
          <w:b/>
          <w:color w:val="002060"/>
          <w:sz w:val="28"/>
        </w:rPr>
        <w:t xml:space="preserve">Weather Bulletin </w:t>
      </w:r>
    </w:p>
    <w:p w:rsidR="00B932C1" w:rsidRDefault="00B932C1" w:rsidP="00B932C1">
      <w:pPr>
        <w:pStyle w:val="NoSpacing1"/>
        <w:jc w:val="both"/>
        <w:rPr>
          <w:rFonts w:ascii="Arial" w:hAnsi="Arial" w:cs="Arial"/>
          <w:sz w:val="24"/>
          <w:szCs w:val="24"/>
          <w:shd w:val="clear" w:color="auto" w:fill="FFFFFF"/>
          <w:lang w:val="en-PH"/>
        </w:rPr>
      </w:pPr>
    </w:p>
    <w:p w:rsidR="00B932C1" w:rsidRPr="008F5D6F" w:rsidRDefault="00B932C1" w:rsidP="00B932C1">
      <w:pPr>
        <w:pStyle w:val="NoSpacing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At 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4:00 AM today, 03 June 2018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>,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the Low Pressure Area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(LPA) embedded along the Intertropical Convergence Zone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(ITCZ) was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estimated, based on all available data, at 390 km East of </w:t>
      </w:r>
      <w:proofErr w:type="spellStart"/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Surigao</w:t>
      </w:r>
      <w:proofErr w:type="spellEnd"/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City, </w:t>
      </w:r>
      <w:proofErr w:type="spellStart"/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Surigao</w:t>
      </w:r>
      <w:proofErr w:type="spellEnd"/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del Norte</w:t>
      </w:r>
      <w:r>
        <w:rPr>
          <w:rFonts w:ascii="Arial" w:hAnsi="Arial" w:cs="Arial"/>
          <w:sz w:val="24"/>
          <w:szCs w:val="24"/>
          <w:shd w:val="clear" w:color="auto" w:fill="FFFFFF"/>
          <w:lang w:val="en-PH"/>
        </w:rPr>
        <w:t xml:space="preserve"> </w:t>
      </w:r>
      <w:r w:rsidRPr="00E44A97">
        <w:rPr>
          <w:rFonts w:ascii="Arial" w:hAnsi="Arial" w:cs="Arial"/>
          <w:sz w:val="24"/>
          <w:szCs w:val="24"/>
          <w:shd w:val="clear" w:color="auto" w:fill="FFFFFF"/>
          <w:lang w:val="en-PH"/>
        </w:rPr>
        <w:t>(10.0N, 129.0E).</w:t>
      </w:r>
    </w:p>
    <w:p w:rsidR="00B932C1" w:rsidRDefault="00B932C1" w:rsidP="00B932C1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</w:p>
    <w:p w:rsidR="00A81C78" w:rsidRPr="001E73AB" w:rsidRDefault="00A81C78" w:rsidP="00B932C1">
      <w:pPr>
        <w:pStyle w:val="NoSpacing1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1E73AB">
        <w:rPr>
          <w:rFonts w:ascii="Arial" w:hAnsi="Arial" w:cs="Arial"/>
          <w:bCs/>
          <w:i/>
          <w:color w:val="0070C0"/>
          <w:sz w:val="16"/>
          <w:szCs w:val="24"/>
        </w:rPr>
        <w:t xml:space="preserve">Source: </w:t>
      </w:r>
      <w:bookmarkStart w:id="3" w:name="_Situational_Report"/>
      <w:bookmarkStart w:id="4" w:name="_Assistance_Centers_and"/>
      <w:bookmarkStart w:id="5" w:name="_Critical_Areas"/>
      <w:bookmarkEnd w:id="3"/>
      <w:bookmarkEnd w:id="4"/>
      <w:bookmarkEnd w:id="5"/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begin"/>
      </w:r>
      <w:r w:rsidRPr="001E73AB">
        <w:rPr>
          <w:rFonts w:ascii="Arial" w:hAnsi="Arial" w:cs="Arial"/>
          <w:i/>
          <w:color w:val="0070C0"/>
          <w:sz w:val="16"/>
          <w:szCs w:val="24"/>
        </w:rPr>
        <w:instrText xml:space="preserve"> HYPERLINK "http://kidlat.pagasa.dost.gov.ph/index.php/general-weather/daily-weather-forecast" </w:instrTex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separate"/>
      </w:r>
      <w:r w:rsidRPr="001E73AB">
        <w:rPr>
          <w:rStyle w:val="Hyperlink"/>
          <w:rFonts w:ascii="Arial" w:hAnsi="Arial" w:cs="Arial"/>
          <w:i/>
          <w:color w:val="0070C0"/>
          <w:sz w:val="16"/>
          <w:szCs w:val="24"/>
        </w:rPr>
        <w:t>DOST-PAGASA Daily Weather Forecast</w:t>
      </w:r>
      <w:r w:rsidRPr="001E73AB">
        <w:rPr>
          <w:rFonts w:ascii="Arial" w:hAnsi="Arial" w:cs="Arial"/>
          <w:i/>
          <w:color w:val="0070C0"/>
          <w:sz w:val="16"/>
          <w:szCs w:val="24"/>
        </w:rPr>
        <w:fldChar w:fldCharType="end"/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1E73AB" w:rsidRDefault="00A81C78" w:rsidP="00B932C1">
      <w:pPr>
        <w:spacing w:after="0" w:line="240" w:lineRule="auto"/>
        <w:rPr>
          <w:rFonts w:ascii="Arial" w:hAnsi="Arial" w:cs="Arial"/>
          <w:sz w:val="28"/>
          <w:szCs w:val="24"/>
        </w:rPr>
      </w:pPr>
      <w:bookmarkStart w:id="6" w:name="_Prepositioned_Resources:_Stockpile_1"/>
      <w:bookmarkEnd w:id="6"/>
      <w:r w:rsidRPr="001E73AB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:rsidR="00B932C1" w:rsidRDefault="00B932C1" w:rsidP="00B932C1">
      <w:pP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A81C78" w:rsidRPr="00696FAF" w:rsidRDefault="00696FAF" w:rsidP="00B932C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696FAF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90703">
        <w:rPr>
          <w:rFonts w:ascii="Arial" w:eastAsia="Arial" w:hAnsi="Arial" w:cs="Arial"/>
          <w:b/>
          <w:color w:val="auto"/>
          <w:sz w:val="24"/>
          <w:szCs w:val="24"/>
        </w:rPr>
        <w:t>1,14</w:t>
      </w:r>
      <w:r w:rsidRPr="00696FAF">
        <w:rPr>
          <w:rFonts w:ascii="Arial" w:eastAsia="Arial" w:hAnsi="Arial" w:cs="Arial"/>
          <w:b/>
          <w:color w:val="auto"/>
          <w:sz w:val="24"/>
          <w:szCs w:val="24"/>
        </w:rPr>
        <w:t>8,</w:t>
      </w:r>
      <w:r w:rsidR="00490703">
        <w:rPr>
          <w:rFonts w:ascii="Arial" w:eastAsia="Arial" w:hAnsi="Arial" w:cs="Arial"/>
          <w:b/>
          <w:color w:val="auto"/>
          <w:sz w:val="24"/>
          <w:szCs w:val="24"/>
        </w:rPr>
        <w:t>978</w:t>
      </w:r>
      <w:r w:rsidRPr="00696FAF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490703">
        <w:rPr>
          <w:rFonts w:ascii="Arial" w:eastAsia="Arial" w:hAnsi="Arial" w:cs="Arial"/>
          <w:b/>
          <w:color w:val="auto"/>
          <w:sz w:val="24"/>
          <w:szCs w:val="24"/>
        </w:rPr>
        <w:t>866</w:t>
      </w:r>
      <w:r w:rsidRPr="00696FAF">
        <w:rPr>
          <w:rFonts w:ascii="Arial" w:eastAsia="Arial" w:hAnsi="Arial" w:cs="Arial"/>
          <w:b/>
          <w:color w:val="auto"/>
          <w:sz w:val="24"/>
          <w:szCs w:val="24"/>
        </w:rPr>
        <w:t>.</w:t>
      </w:r>
      <w:r w:rsidR="00490703">
        <w:rPr>
          <w:rFonts w:ascii="Arial" w:eastAsia="Arial" w:hAnsi="Arial" w:cs="Arial"/>
          <w:b/>
          <w:color w:val="auto"/>
          <w:sz w:val="24"/>
          <w:szCs w:val="24"/>
        </w:rPr>
        <w:t>64</w:t>
      </w:r>
      <w:r w:rsidRPr="00696FAF">
        <w:rPr>
          <w:rFonts w:ascii="Arial" w:eastAsia="Arial" w:hAnsi="Arial" w:cs="Arial"/>
          <w:color w:val="auto"/>
          <w:sz w:val="24"/>
          <w:szCs w:val="24"/>
        </w:rPr>
        <w:t xml:space="preserve"> with breakdown as follows:</w:t>
      </w:r>
    </w:p>
    <w:p w:rsidR="00A81C78" w:rsidRPr="002C7EE4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C7EE4">
        <w:rPr>
          <w:rFonts w:ascii="Arial" w:eastAsia="Arial" w:hAnsi="Arial" w:cs="Arial"/>
          <w:b/>
          <w:sz w:val="24"/>
          <w:szCs w:val="24"/>
          <w:highlight w:val="white"/>
        </w:rPr>
        <w:t>Standby Funds</w:t>
      </w:r>
    </w:p>
    <w:p w:rsidR="00696FAF" w:rsidRPr="00696FAF" w:rsidRDefault="00696FAF" w:rsidP="00B932C1">
      <w:pPr>
        <w:spacing w:after="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2</w:t>
      </w:r>
      <w:r w:rsidRPr="00696FAF">
        <w:rPr>
          <w:rFonts w:ascii="Arial" w:eastAsia="Arial" w:hAnsi="Arial" w:cs="Arial"/>
          <w:b/>
          <w:sz w:val="24"/>
          <w:szCs w:val="24"/>
        </w:rPr>
        <w:t>07,2</w:t>
      </w:r>
      <w:r w:rsidR="00490703">
        <w:rPr>
          <w:rFonts w:ascii="Arial" w:eastAsia="Arial" w:hAnsi="Arial" w:cs="Arial"/>
          <w:b/>
          <w:sz w:val="24"/>
          <w:szCs w:val="24"/>
        </w:rPr>
        <w:t>23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921</w:t>
      </w:r>
      <w:r w:rsidRPr="00696FAF">
        <w:rPr>
          <w:rFonts w:ascii="Arial" w:eastAsia="Arial" w:hAnsi="Arial" w:cs="Arial"/>
          <w:b/>
          <w:sz w:val="24"/>
          <w:szCs w:val="24"/>
        </w:rPr>
        <w:t>.</w:t>
      </w:r>
      <w:r w:rsidR="00490703">
        <w:rPr>
          <w:rFonts w:ascii="Arial" w:eastAsia="Arial" w:hAnsi="Arial" w:cs="Arial"/>
          <w:b/>
          <w:sz w:val="24"/>
          <w:szCs w:val="24"/>
        </w:rPr>
        <w:t>85</w:t>
      </w:r>
      <w:r w:rsidRPr="00696FAF">
        <w:rPr>
          <w:rFonts w:ascii="Arial" w:eastAsia="Arial" w:hAnsi="Arial" w:cs="Arial"/>
          <w:b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>standby funds in the CO and FOs. Of the said amount,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165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18</w:t>
      </w:r>
      <w:r w:rsidRPr="00696FAF">
        <w:rPr>
          <w:rFonts w:ascii="Arial" w:eastAsia="Arial" w:hAnsi="Arial" w:cs="Arial"/>
          <w:b/>
          <w:sz w:val="24"/>
          <w:szCs w:val="24"/>
        </w:rPr>
        <w:t>1,</w:t>
      </w:r>
      <w:r w:rsidR="00490703">
        <w:rPr>
          <w:rFonts w:ascii="Arial" w:eastAsia="Arial" w:hAnsi="Arial" w:cs="Arial"/>
          <w:b/>
          <w:sz w:val="24"/>
          <w:szCs w:val="24"/>
        </w:rPr>
        <w:t>069</w:t>
      </w:r>
      <w:r w:rsidRPr="00696FAF">
        <w:rPr>
          <w:rFonts w:ascii="Arial" w:eastAsia="Arial" w:hAnsi="Arial" w:cs="Arial"/>
          <w:b/>
          <w:sz w:val="24"/>
          <w:szCs w:val="24"/>
        </w:rPr>
        <w:t>.00</w:t>
      </w:r>
      <w:r w:rsidRPr="00696FAF">
        <w:rPr>
          <w:rFonts w:ascii="Arial" w:eastAsia="Arial" w:hAnsi="Arial" w:cs="Arial"/>
          <w:sz w:val="24"/>
          <w:szCs w:val="24"/>
        </w:rPr>
        <w:t xml:space="preserve"> is the available Quick Response Fund in the CO.</w:t>
      </w:r>
    </w:p>
    <w:p w:rsidR="00A81C78" w:rsidRPr="002C7EE4" w:rsidRDefault="00A81C78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A81C78" w:rsidRPr="002C7EE4" w:rsidRDefault="00A81C78" w:rsidP="00B932C1">
      <w:pPr>
        <w:widowControl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hanging="360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C7EE4">
        <w:rPr>
          <w:rFonts w:ascii="Arial" w:eastAsia="Arial" w:hAnsi="Arial" w:cs="Arial"/>
          <w:b/>
          <w:sz w:val="24"/>
          <w:szCs w:val="24"/>
        </w:rPr>
        <w:t>Stockpiles</w:t>
      </w:r>
    </w:p>
    <w:p w:rsidR="00A81C78" w:rsidRPr="002C7EE4" w:rsidRDefault="00696FAF" w:rsidP="00B932C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96FAF">
        <w:rPr>
          <w:rFonts w:ascii="Arial" w:eastAsia="Arial" w:hAnsi="Arial" w:cs="Arial"/>
          <w:sz w:val="24"/>
          <w:szCs w:val="24"/>
        </w:rPr>
        <w:t xml:space="preserve">A total of </w:t>
      </w:r>
      <w:r w:rsidR="00490703">
        <w:rPr>
          <w:rFonts w:ascii="Arial" w:eastAsia="Arial" w:hAnsi="Arial" w:cs="Arial"/>
          <w:b/>
          <w:sz w:val="24"/>
          <w:szCs w:val="24"/>
        </w:rPr>
        <w:t>429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272</w:t>
      </w:r>
      <w:r w:rsidRPr="00696FAF">
        <w:rPr>
          <w:rFonts w:ascii="Arial" w:eastAsia="Arial" w:hAnsi="Arial" w:cs="Arial"/>
          <w:sz w:val="24"/>
          <w:szCs w:val="24"/>
        </w:rPr>
        <w:t xml:space="preserve"> Family Food Packs (FFPs) amounting to </w:t>
      </w:r>
      <w:r w:rsidRPr="00696FAF">
        <w:rPr>
          <w:rFonts w:ascii="Arial" w:eastAsia="Arial" w:hAnsi="Arial" w:cs="Arial"/>
          <w:b/>
          <w:sz w:val="24"/>
          <w:szCs w:val="24"/>
        </w:rPr>
        <w:t>₱1</w:t>
      </w:r>
      <w:r w:rsidR="00490703">
        <w:rPr>
          <w:rFonts w:ascii="Arial" w:eastAsia="Arial" w:hAnsi="Arial" w:cs="Arial"/>
          <w:b/>
          <w:sz w:val="24"/>
          <w:szCs w:val="24"/>
        </w:rPr>
        <w:t>49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231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091</w:t>
      </w:r>
      <w:r w:rsidRPr="00696FAF">
        <w:rPr>
          <w:rFonts w:ascii="Arial" w:eastAsia="Arial" w:hAnsi="Arial" w:cs="Arial"/>
          <w:b/>
          <w:sz w:val="24"/>
          <w:szCs w:val="24"/>
        </w:rPr>
        <w:t>.</w:t>
      </w:r>
      <w:r w:rsidR="00490703">
        <w:rPr>
          <w:rFonts w:ascii="Arial" w:eastAsia="Arial" w:hAnsi="Arial" w:cs="Arial"/>
          <w:b/>
          <w:sz w:val="24"/>
          <w:szCs w:val="24"/>
        </w:rPr>
        <w:t>98</w:t>
      </w:r>
      <w:r w:rsidRPr="00696FAF">
        <w:rPr>
          <w:rFonts w:ascii="Arial" w:eastAsia="Arial" w:hAnsi="Arial" w:cs="Arial"/>
          <w:sz w:val="24"/>
          <w:szCs w:val="24"/>
        </w:rPr>
        <w:t xml:space="preserve"> and available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96FAF">
        <w:rPr>
          <w:rFonts w:ascii="Arial" w:eastAsia="Arial" w:hAnsi="Arial" w:cs="Arial"/>
          <w:sz w:val="24"/>
          <w:szCs w:val="24"/>
        </w:rPr>
        <w:t xml:space="preserve">Food and Non-food Items (FNIs) amounting to </w:t>
      </w:r>
      <w:r w:rsidRPr="00696FAF">
        <w:rPr>
          <w:rFonts w:ascii="Arial" w:eastAsia="Arial" w:hAnsi="Arial" w:cs="Arial"/>
          <w:b/>
          <w:sz w:val="24"/>
          <w:szCs w:val="24"/>
        </w:rPr>
        <w:t>₱</w:t>
      </w:r>
      <w:r w:rsidR="00490703">
        <w:rPr>
          <w:rFonts w:ascii="Arial" w:eastAsia="Arial" w:hAnsi="Arial" w:cs="Arial"/>
          <w:b/>
          <w:sz w:val="24"/>
          <w:szCs w:val="24"/>
        </w:rPr>
        <w:t>792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523</w:t>
      </w:r>
      <w:r w:rsidRPr="00696FAF">
        <w:rPr>
          <w:rFonts w:ascii="Arial" w:eastAsia="Arial" w:hAnsi="Arial" w:cs="Arial"/>
          <w:b/>
          <w:sz w:val="24"/>
          <w:szCs w:val="24"/>
        </w:rPr>
        <w:t>,</w:t>
      </w:r>
      <w:r w:rsidR="00490703">
        <w:rPr>
          <w:rFonts w:ascii="Arial" w:eastAsia="Arial" w:hAnsi="Arial" w:cs="Arial"/>
          <w:b/>
          <w:sz w:val="24"/>
          <w:szCs w:val="24"/>
        </w:rPr>
        <w:t>85</w:t>
      </w:r>
      <w:r w:rsidRPr="00696FAF">
        <w:rPr>
          <w:rFonts w:ascii="Arial" w:eastAsia="Arial" w:hAnsi="Arial" w:cs="Arial"/>
          <w:b/>
          <w:sz w:val="24"/>
          <w:szCs w:val="24"/>
        </w:rPr>
        <w:t>2.</w:t>
      </w:r>
      <w:r w:rsidR="00490703">
        <w:rPr>
          <w:rFonts w:ascii="Arial" w:eastAsia="Arial" w:hAnsi="Arial" w:cs="Arial"/>
          <w:b/>
          <w:sz w:val="24"/>
          <w:szCs w:val="24"/>
        </w:rPr>
        <w:t>81</w:t>
      </w:r>
      <w:r w:rsidRPr="00696FAF">
        <w:rPr>
          <w:rFonts w:ascii="Arial" w:eastAsia="Arial" w:hAnsi="Arial" w:cs="Arial"/>
          <w:sz w:val="24"/>
          <w:szCs w:val="24"/>
        </w:rPr>
        <w:t>.</w:t>
      </w: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49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"/>
        <w:gridCol w:w="1250"/>
        <w:gridCol w:w="768"/>
        <w:gridCol w:w="1249"/>
        <w:gridCol w:w="1249"/>
        <w:gridCol w:w="1249"/>
        <w:gridCol w:w="1251"/>
        <w:gridCol w:w="1388"/>
      </w:tblGrid>
      <w:tr w:rsidR="00B932C1" w:rsidRPr="00B932C1" w:rsidTr="00B932C1">
        <w:trPr>
          <w:trHeight w:val="20"/>
        </w:trPr>
        <w:tc>
          <w:tcPr>
            <w:tcW w:w="63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FIELD OFFICE</w:t>
            </w:r>
          </w:p>
        </w:tc>
        <w:tc>
          <w:tcPr>
            <w:tcW w:w="649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STANDBY FUNDS</w:t>
            </w:r>
          </w:p>
        </w:tc>
        <w:tc>
          <w:tcPr>
            <w:tcW w:w="2996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STOCKPILE</w:t>
            </w:r>
          </w:p>
        </w:tc>
        <w:tc>
          <w:tcPr>
            <w:tcW w:w="721" w:type="pct"/>
            <w:vMerge w:val="restart"/>
            <w:tcBorders>
              <w:top w:val="single" w:sz="6" w:space="0" w:color="000000"/>
              <w:left w:val="single" w:sz="6" w:space="0" w:color="CCCCCC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TOTAL STANDBY FUNDS AND STOCKPILE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048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Family Food Packs</w:t>
            </w:r>
          </w:p>
        </w:tc>
        <w:tc>
          <w:tcPr>
            <w:tcW w:w="64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Food</w:t>
            </w:r>
          </w:p>
        </w:tc>
        <w:tc>
          <w:tcPr>
            <w:tcW w:w="649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Non-Food</w:t>
            </w:r>
          </w:p>
        </w:tc>
        <w:tc>
          <w:tcPr>
            <w:tcW w:w="650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Sub-Total</w:t>
            </w: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br/>
              <w:t>(Food and NFIs)</w:t>
            </w:r>
          </w:p>
        </w:tc>
        <w:tc>
          <w:tcPr>
            <w:tcW w:w="721" w:type="pct"/>
            <w:vMerge/>
            <w:tcBorders>
              <w:left w:val="single" w:sz="6" w:space="0" w:color="CCCCCC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9999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Total Cost</w:t>
            </w:r>
          </w:p>
        </w:tc>
        <w:tc>
          <w:tcPr>
            <w:tcW w:w="64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49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50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21" w:type="pct"/>
            <w:vMerge/>
            <w:tcBorders>
              <w:left w:val="single" w:sz="6" w:space="0" w:color="CCCCCC"/>
              <w:bottom w:val="single" w:sz="6" w:space="0" w:color="000000"/>
            </w:tcBorders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TOTAL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207,223,921.85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429,272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149,231,091.98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120,208,894.40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672,314,958.41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color w:val="auto"/>
                <w:sz w:val="20"/>
                <w:szCs w:val="24"/>
              </w:rPr>
              <w:t>792,523,852.81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7B7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b/>
                <w:bCs/>
                <w:sz w:val="20"/>
                <w:szCs w:val="24"/>
              </w:rPr>
              <w:t>1,148,978,866.64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Central Office*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165,181,069.00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-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-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-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- 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-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165,181,069.00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NROC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- 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77,075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27,747,000.00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36,925,252.22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254,687,765.00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291,613,017.22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319,360,017.22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NCR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2,937,750.00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19,558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5,902,028.64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817,794.60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2,430,599.75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3,248,394.35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12,088,172.99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CAR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1,922,353.00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8,193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3,188,802.92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188,215.00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15,432,353.48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15,620,568.48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20,731,724.40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3,031,900.00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10,400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3,744,000.00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3,877,584.03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21,956,891.22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25,834,475.25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32,610,375.25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II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2,762,375.00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36,495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12,773,250.00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3,052,800.00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3,533,649.96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6,586,449.96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22,122,074.96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III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3,133,400.00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11,374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4,088,522.20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373,586.30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17,072,747.10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17,446,333.40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24,668,255.60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CALABARZON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2,316,000.00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11,572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3,841,105.50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2,413,554.88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6,443,933.41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8,857,488.29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15,014,593.79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MIMAROPA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503,660.00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9,160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3,324,103.00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8,056,951.06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1,395,732.36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9,452,683.42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13,280,446.42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V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2,992,000.00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30,286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9,379,056.00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903,399.60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52,232,988.00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53,136,387.60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65,507,443.60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VI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3,000,000.00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12,750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4,577,250.00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13,303,645.57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8,490,644.19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21,794,289.76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29,371,539.76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VII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3,000,000.00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89,758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32,404,574.00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19,980,445.04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46,942,129.96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66,922,575.00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102,327,149.00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VIII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2,049,600.00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20,210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7,077,048.44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12,206,151.62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48,746,786.55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60,952,938.17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70,079,586.61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IX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2,873,664.85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22,361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8,049,960.00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1,141,829.35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3,315,422.67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4,457,252.02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15,380,876.87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X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3,140,700.00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15,919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5,236,080.00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2,145,840.00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170,250,270.06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172,396,110.06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180,772,890.06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XI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3,000,000.00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27,521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9,021,383.80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6,039,769.28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2,497,486.17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8,537,255.45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20,558,639.25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XII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3,000,000.00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13,741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4,946,760.00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3,931,315.63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4,511,351.67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8,442,667.30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16,389,427.30</w:t>
            </w:r>
          </w:p>
        </w:tc>
      </w:tr>
      <w:tr w:rsidR="00B932C1" w:rsidRPr="00B932C1" w:rsidTr="00B932C1">
        <w:trPr>
          <w:trHeight w:val="20"/>
        </w:trPr>
        <w:tc>
          <w:tcPr>
            <w:tcW w:w="633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 xml:space="preserve">CARAGA 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2,379,450.00</w:t>
            </w:r>
          </w:p>
        </w:tc>
        <w:tc>
          <w:tcPr>
            <w:tcW w:w="39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12,899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3,930,167.48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4,850,760.22</w:t>
            </w:r>
          </w:p>
        </w:tc>
        <w:tc>
          <w:tcPr>
            <w:tcW w:w="649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12,374,206.86</w:t>
            </w:r>
          </w:p>
        </w:tc>
        <w:tc>
          <w:tcPr>
            <w:tcW w:w="65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17,224,967.08</w:t>
            </w:r>
          </w:p>
        </w:tc>
        <w:tc>
          <w:tcPr>
            <w:tcW w:w="721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932C1" w:rsidRPr="00B932C1" w:rsidRDefault="00B932C1" w:rsidP="00B932C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</w:pPr>
            <w:r w:rsidRPr="00B932C1">
              <w:rPr>
                <w:rFonts w:ascii="Arial Narrow" w:eastAsia="Times New Roman" w:hAnsi="Arial Narrow" w:cs="Times New Roman"/>
                <w:color w:val="auto"/>
                <w:sz w:val="20"/>
                <w:szCs w:val="24"/>
              </w:rPr>
              <w:t>23,534,584.56</w:t>
            </w:r>
          </w:p>
        </w:tc>
      </w:tr>
    </w:tbl>
    <w:p w:rsidR="00B932C1" w:rsidRDefault="00B932C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808F1" w:rsidRDefault="009808F1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DSWD-FOs </w:t>
      </w:r>
      <w:r w:rsidR="00376584">
        <w:rPr>
          <w:rFonts w:ascii="Arial" w:eastAsia="Arial" w:hAnsi="Arial" w:cs="Arial"/>
          <w:sz w:val="24"/>
          <w:szCs w:val="24"/>
        </w:rPr>
        <w:t xml:space="preserve">have </w:t>
      </w:r>
      <w:r>
        <w:rPr>
          <w:rFonts w:ascii="Arial" w:eastAsia="Arial" w:hAnsi="Arial" w:cs="Arial"/>
          <w:sz w:val="24"/>
          <w:szCs w:val="24"/>
        </w:rPr>
        <w:t>prepositioned FFPs in strategic locations. Breakdown per location is as follows:</w:t>
      </w:r>
    </w:p>
    <w:p w:rsidR="00490703" w:rsidRDefault="00490703" w:rsidP="00B932C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tbl>
      <w:tblPr>
        <w:tblW w:w="5051" w:type="pct"/>
        <w:tblLook w:val="04A0" w:firstRow="1" w:lastRow="0" w:firstColumn="1" w:lastColumn="0" w:noHBand="0" w:noVBand="1"/>
      </w:tblPr>
      <w:tblGrid>
        <w:gridCol w:w="1500"/>
        <w:gridCol w:w="6701"/>
        <w:gridCol w:w="1516"/>
      </w:tblGrid>
      <w:tr w:rsidR="00490703" w:rsidRPr="00C43BDA" w:rsidTr="00C43BDA">
        <w:trPr>
          <w:trHeight w:val="20"/>
          <w:tblHeader/>
        </w:trPr>
        <w:tc>
          <w:tcPr>
            <w:tcW w:w="7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0703" w:rsidRPr="00C43BDA" w:rsidRDefault="00490703" w:rsidP="00C43B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REGION</w:t>
            </w:r>
          </w:p>
        </w:tc>
        <w:tc>
          <w:tcPr>
            <w:tcW w:w="3448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0703" w:rsidRPr="00C43BDA" w:rsidRDefault="00490703" w:rsidP="00C43B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780" w:type="pct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808080"/>
            <w:vAlign w:val="center"/>
            <w:hideMark/>
          </w:tcPr>
          <w:p w:rsidR="00490703" w:rsidRPr="00C43BDA" w:rsidRDefault="00490703" w:rsidP="00C43B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NUMBER OF FFPS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A6A6A6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429,272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NROC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77,075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Chapel Road, Pasay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77,075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19,558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DSWD-FO NCR, 389 San Rafael St.,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Legarda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Sampaloc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, Manila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362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4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Misamis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Ext.,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Bago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Bantay,Q.C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. (RSCC)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1,212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NCWP, Chapel Road, Pasay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1,998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NROC Chapel Road (Reserve Stock)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15,986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8,193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SN Oriental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Cmpd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Palmaville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Puguis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, La Trinidad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8,193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10,400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Regional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Urayong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Bauang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, La Union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3,400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Manaoag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Maningding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Sta. Barbara,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Rosales Warehouse, Robert B. Estrella, Sr. Memorial Stadium,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Umingan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-Rosales Rd., Rosales,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Vigan City Satellite Warehouse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36,495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Regional Government Center,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Carig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Tuguegarao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8,745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27,750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PSWDO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Aparri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Alcala,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Buguey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Gattaran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Lasam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1,200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Gonzaga,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Camalaniugan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Sta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Ana,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Abulug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Allacapan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Calayan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Pamplona,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Piat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Sto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Niño,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Amulung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Enrile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Iguig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Peñablanca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Solana,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Tuguegarao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City, Cagayan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PSWDO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Cabagan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Cordon,Isabela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Divilacan,Isabela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Maconacon,Isabela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Palanan,Isabela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Santa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Maria,Isabela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Benito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Soliven,Isabela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Manuel,Isabela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Gamu,Isabela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Alicia,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Cabatuan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Luna,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Reina Mercedes,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Mateo,Isabela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Cauayan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Dinapigue,Isabela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900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Santiago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City,Isabela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Agustin, Isabela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PSWDO QUIRINO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Aglipay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250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Cabarroguis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Saguday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Diffun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Maddela,Quirino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Nagtipunan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PSWDO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Ambaguio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Aritao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Bagabag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Bambang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Bayombong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Diadi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Sta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Fe,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Villaverde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Kayapa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Alfonso Castaneda,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Dupax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Quezon, Nueva Vizcaya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11,374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DSWD Regional Warehouse, JASA, Dolores, City of San Fernando, Pampanga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5,874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5,500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DPEO, </w:t>
            </w:r>
            <w:proofErr w:type="gram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Aurora(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Sitio</w:t>
            </w:r>
            <w:proofErr w:type="spellEnd"/>
            <w:proofErr w:type="gram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Hiwalayan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Bacong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San Luis, Aurora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Evacuation Center,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Suklayin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Baler, Aurora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Municipality of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Municipality of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Pulilan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Jose,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Plaridel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CALABARZON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11,572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Gregoria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Jesus,San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Jose, G.M.A, Cavite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10,052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1,520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MSWDO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Alabat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Quezon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640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MSWDO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Jomalig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Quezon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880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MIMAROPA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9,160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1680 F. Benitez cor.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Malvar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Sts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., Malate, Metro Manila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1,033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8,127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Roxas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Drive,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Salong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Calapan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(SWADT Oriental Mindoro)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JRB Building, San Jose, Occidental Mindoro (SWADT Occ. Mindoro)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373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Bangbangalon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Boac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Marinduque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(SWADT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Marinduque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1,175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052 Gen. Luna St.,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Liwayway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Odiongan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Romblon (SWADT Romblon)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1,985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Cor.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Malvar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and Sandoval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Sts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., Puerto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Princesa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(SWADT Palawan)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4,572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30,286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Bogtong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Legazpi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22,986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7,300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LGU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Baao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Camarines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Sur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Lagonoy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Camarines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Sur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Canaman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Camarines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Sur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LGU San Vicente,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Camarines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Sorsogon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PLGU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Virac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Catanduanes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12,750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Juantong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Warehouse, Bodega 8,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Juantong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Bldg., Rizal St., Iloilo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11,750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LGU Malay,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Aklan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89,758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VDRC, P.C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Suico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St.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Tingub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Mandaue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47,098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Labangon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Cebu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CIty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11,532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Bodega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Polinitas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C.P.G. East Ave.,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Tagbilaran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City, Bohol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12,430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DC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Tabuk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Tubig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Dumaguete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City, Negros Oriental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11,541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SWAD Office,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Siquijor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141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7,016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Dumanjug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1,997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Madridejos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Ronda,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Fracisco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Toledo, Cebu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564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Tanjay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City, Negros, Oriental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455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20,210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91,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Abucay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Tacloban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11,510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8,700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Dulag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Leyte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Hilongos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Leyte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Isidro, Leyte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Jipapad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Eastern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Almagro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Calbiga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Daram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Hinabangan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Matuguinao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Motiong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Sta. Margarita,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San Sebastian,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Jose de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Buan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, Western Samar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Culaba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Biliran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500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IX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22,361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Rojo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Warehouse. No. 59, Santa Catalina, Zamboanga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20,152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2,209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SWADT, Ipil Heights, Ipil, Zamboanga Sibugay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873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SWADT,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Liloy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, Zamboanga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838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SWADT-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Dipolog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DSWDBldg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Dipolog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254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SWADT-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Pagadian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DSWD Bldg.,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Pagadian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244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15,919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RCP Warehouse,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Dalipuga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Iligan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15,919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XI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27,521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Purok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7, BPI Compound,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Oshiro,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Tugbok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District, Davao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20,010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7,511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Provincial Coliseum,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Mati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Digos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 Davao Del Sur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2,000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Provincial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Capitol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Cabidianan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Nabunturan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Compostela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Valley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1,780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PDRRMO Compound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Dahican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Mati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 Davao Oriental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2,000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PSWDO, Provincial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Capitol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Cmpd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Tagum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City, Davao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1,731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XII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13,741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Arellano St.,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Brgy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. Zone III,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Koronadal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City, South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Cotabato</w:t>
            </w:r>
            <w:proofErr w:type="spellEnd"/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13,741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CARAGA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12,899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DSWD Regional Warehouse, DPWH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Tiniwisan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Butuan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City,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Agusan</w:t>
            </w:r>
            <w:proofErr w:type="spellEnd"/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7,253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Prepositioned Relief Goods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5,646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Surigao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2,219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Patin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-ay,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Agusan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Sur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1,800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Pilar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Surigao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423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Burgos,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Surigao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289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Socorro,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Surigao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Del Norte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298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San Jose,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Dinagat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Island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300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Libjo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Dinagat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Island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162</w:t>
            </w:r>
          </w:p>
        </w:tc>
      </w:tr>
      <w:tr w:rsidR="00490703" w:rsidRPr="00C43BDA" w:rsidTr="00C43BDA">
        <w:trPr>
          <w:trHeight w:val="20"/>
        </w:trPr>
        <w:tc>
          <w:tcPr>
            <w:tcW w:w="772" w:type="pct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3448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Loreto, </w:t>
            </w:r>
            <w:proofErr w:type="spellStart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Dinagat</w:t>
            </w:r>
            <w:proofErr w:type="spellEnd"/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Island</w:t>
            </w:r>
          </w:p>
        </w:tc>
        <w:tc>
          <w:tcPr>
            <w:tcW w:w="780" w:type="pct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90703" w:rsidRPr="00C43BDA" w:rsidRDefault="00490703" w:rsidP="0049070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3BDA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>155</w:t>
            </w:r>
          </w:p>
        </w:tc>
      </w:tr>
    </w:tbl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81C78" w:rsidRPr="003871FE" w:rsidRDefault="00A81C78" w:rsidP="00B932C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7" w:name="_Situational_Report_1"/>
      <w:bookmarkEnd w:id="7"/>
      <w:r w:rsidRPr="003871FE">
        <w:rPr>
          <w:rFonts w:ascii="Arial" w:hAnsi="Arial" w:cs="Arial"/>
          <w:color w:val="002060"/>
          <w:sz w:val="28"/>
          <w:szCs w:val="24"/>
        </w:rPr>
        <w:t>Situational Report</w:t>
      </w:r>
      <w:r w:rsidR="00A834B4">
        <w:rPr>
          <w:rFonts w:ascii="Arial" w:hAnsi="Arial" w:cs="Arial"/>
          <w:color w:val="002060"/>
          <w:sz w:val="28"/>
          <w:szCs w:val="24"/>
        </w:rPr>
        <w:t>s</w:t>
      </w:r>
    </w:p>
    <w:p w:rsidR="00376584" w:rsidRDefault="00376584" w:rsidP="00B932C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8" w:name="_Contact_Information"/>
      <w:bookmarkEnd w:id="8"/>
    </w:p>
    <w:p w:rsidR="00376584" w:rsidRDefault="00F34EA4" w:rsidP="00B932C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</w:t>
      </w:r>
      <w:r w:rsidR="00376584">
        <w:rPr>
          <w:rFonts w:ascii="Arial" w:eastAsia="Arial" w:hAnsi="Arial" w:cs="Arial"/>
          <w:b/>
          <w:sz w:val="24"/>
          <w:szCs w:val="24"/>
        </w:rPr>
        <w:t>MB</w:t>
      </w:r>
    </w:p>
    <w:tbl>
      <w:tblPr>
        <w:tblW w:w="9737" w:type="dxa"/>
        <w:tblLayout w:type="fixed"/>
        <w:tblLook w:val="0400" w:firstRow="0" w:lastRow="0" w:firstColumn="0" w:lastColumn="0" w:noHBand="0" w:noVBand="1"/>
      </w:tblPr>
      <w:tblGrid>
        <w:gridCol w:w="1790"/>
        <w:gridCol w:w="7947"/>
      </w:tblGrid>
      <w:tr w:rsidR="00376584" w:rsidTr="00696FAF">
        <w:trPr>
          <w:trHeight w:val="20"/>
          <w:tblHeader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DATE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376584" w:rsidP="00B932C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</w:rPr>
            </w:pPr>
            <w:r w:rsidRPr="00FC192D">
              <w:rPr>
                <w:rFonts w:ascii="Arial" w:eastAsia="Arial" w:hAnsi="Arial" w:cs="Arial"/>
                <w:b/>
              </w:rPr>
              <w:t>SITUATIONS / ACTIONS UNDERTAKEN</w:t>
            </w:r>
          </w:p>
        </w:tc>
      </w:tr>
      <w:tr w:rsidR="00376584" w:rsidRPr="00A440A6" w:rsidTr="00696FAF">
        <w:trPr>
          <w:trHeight w:val="20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76584" w:rsidRPr="00FC192D" w:rsidRDefault="00C43BDA" w:rsidP="00C43B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</w:t>
            </w:r>
            <w:r w:rsidR="00FC192D" w:rsidRPr="00FC192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3, 2018</w:t>
            </w:r>
          </w:p>
        </w:tc>
        <w:tc>
          <w:tcPr>
            <w:tcW w:w="7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43BDA" w:rsidRPr="00C43BDA" w:rsidRDefault="00C43BDA" w:rsidP="00C43B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40" w:hanging="34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The Disaster Response Operations Monitoring and Information Center (DROMIC) of the </w:t>
            </w:r>
            <w:r>
              <w:rPr>
                <w:rFonts w:ascii="Arial" w:eastAsia="Arial" w:hAnsi="Arial" w:cs="Arial"/>
                <w:sz w:val="20"/>
                <w:szCs w:val="20"/>
              </w:rPr>
              <w:t>DSWD-DR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MB </w:t>
            </w:r>
            <w:r>
              <w:rPr>
                <w:rFonts w:ascii="Arial" w:eastAsia="Arial" w:hAnsi="Arial" w:cs="Arial"/>
                <w:sz w:val="20"/>
                <w:szCs w:val="20"/>
              </w:rPr>
              <w:t>is on 24/7 duty to continuously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 coordinate with the concerned DSWD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 xml:space="preserve">Field Offices for significant disaster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preparedness for </w:t>
            </w:r>
            <w:r w:rsidRPr="00C43BDA">
              <w:rPr>
                <w:rFonts w:ascii="Arial" w:eastAsia="Arial" w:hAnsi="Arial" w:cs="Arial"/>
                <w:sz w:val="20"/>
                <w:szCs w:val="20"/>
              </w:rPr>
              <w:t>response updates.</w:t>
            </w:r>
          </w:p>
        </w:tc>
      </w:tr>
    </w:tbl>
    <w:p w:rsidR="00A81C78" w:rsidRDefault="00A81C78" w:rsidP="00B932C1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C43BDA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33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A81C78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DA0433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June 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Ilocos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Region is generally experiencing isolated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rainshowers</w:t>
            </w:r>
            <w:proofErr w:type="spell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174E88" w:rsidRDefault="00C43BDA" w:rsidP="00B932C1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DRMD staff members of the FO are closely monitoring the possible effect of the LPA.</w:t>
            </w:r>
          </w:p>
          <w:p w:rsidR="00174E88" w:rsidRPr="00DA0433" w:rsidRDefault="00C43BDA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Quick Action Response Teams (QUARTS) of the FO and the Provincial Operations Offices are currently monitoring the weather and performing pre-disaster activities in coordination with the OCD – Region I and the different 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P/M/CDRRMCs</w:t>
            </w:r>
            <w:r w:rsidR="00174E88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Pr="00FC6E01" w:rsidRDefault="00A81C78" w:rsidP="00B932C1">
      <w:pPr>
        <w:spacing w:after="0" w:line="240" w:lineRule="auto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:rsidR="00A81C78" w:rsidRPr="00FC6E01" w:rsidRDefault="00A81C78" w:rsidP="00B932C1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C6E01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FO </w:t>
      </w:r>
      <w:r w:rsidR="00DA0433">
        <w:rPr>
          <w:rFonts w:ascii="Arial" w:eastAsia="Arial" w:hAnsi="Arial" w:cs="Arial"/>
          <w:b/>
          <w:color w:val="000000" w:themeColor="text1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DA0433" w:rsidRPr="00FC6E01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ctivated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FO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Operation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Center to monitor daily local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condition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MIMAROPA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lerted all P/C/M Quick Response Tea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ms in the five (5) provinces of the region to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regularly monitor the situations in their areas.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members of R/P/C/M QRTs are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 an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on-call status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 on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standby to be on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duty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ready for deployment if needed.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The DSWD-FO MIMAROPA a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dvised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its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P/MQRTs to coordinate with concerned LGUs to report any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unusual eventualities in their respective areas and take appropriate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actions.</w:t>
            </w:r>
          </w:p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FO’s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Information and Communication Technology Management Unit (ICTMU) is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activated to ensure robust communication system.</w:t>
            </w:r>
          </w:p>
          <w:p w:rsidR="00DA0433" w:rsidRP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60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FO e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nsured that there is an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available truck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to deliver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goods to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areas that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might</w:t>
            </w:r>
            <w:r w:rsidRP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be affected.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VI</w:t>
      </w:r>
      <w:r w:rsidR="00DA043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DA0433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Pr="00376584" w:rsidRDefault="00DA0433" w:rsidP="00DA043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0433" w:rsidRDefault="00DA0433" w:rsidP="00DA0433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Staff members from the field were alerted on the latest weather information </w:t>
            </w:r>
            <w:r w:rsidR="00F34EA4">
              <w:rPr>
                <w:rFonts w:ascii="Arial" w:hAnsi="Arial" w:cs="Arial"/>
                <w:color w:val="000000" w:themeColor="text1"/>
                <w:sz w:val="20"/>
                <w:szCs w:val="20"/>
              </w:rPr>
              <w:t>and were requested to monitor areas of responsibility and provide updates for any incidents related to the weather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DA0433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71" w:hanging="389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DSWD-FO VII QRT is currently on standby for any assistance and augmentation that may be needed</w:t>
            </w:r>
            <w:r w:rsidR="00DA0433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 </w:t>
      </w:r>
      <w:r w:rsidR="00F34EA4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Tr="00A81C78">
        <w:trPr>
          <w:trHeight w:val="420"/>
          <w:tblHeader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F34EA4" w:rsidTr="00A81C78">
        <w:trPr>
          <w:trHeight w:val="4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SWAD Teams,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and advised to closely 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oordinate with P/C/MSWDOs and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P/C/MRRDMOs.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At the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, all QRT members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alerted in case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the LPA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elevate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in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Tropical Depression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Storm for them to prepare for 24/7 duty.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FO’s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DRIMS is closely monitoring weather bulletins to ensure readiness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for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any eventualities that may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arise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due to the present weather disturbance.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DRMD staffs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 likewise alerted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F34EA4" w:rsidRPr="00F34EA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64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4EA4">
              <w:rPr>
                <w:rFonts w:ascii="Arial" w:eastAsia="Times New Roman" w:hAnsi="Arial" w:cs="Arial"/>
                <w:sz w:val="20"/>
                <w:szCs w:val="20"/>
              </w:rPr>
              <w:t>Staff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member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s manning the warehouse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were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also alerted to ensure the readiness of dispatching the food and non-food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items</w:t>
            </w:r>
            <w:r w:rsidRPr="00F34EA4">
              <w:rPr>
                <w:rFonts w:ascii="Arial" w:eastAsia="Times New Roman" w:hAnsi="Arial" w:cs="Arial"/>
                <w:sz w:val="20"/>
                <w:szCs w:val="20"/>
              </w:rPr>
              <w:t xml:space="preserve"> whenever needed.</w:t>
            </w:r>
          </w:p>
        </w:tc>
      </w:tr>
    </w:tbl>
    <w:p w:rsidR="00A81C78" w:rsidRDefault="00A81C78" w:rsidP="00B932C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1C78" w:rsidRDefault="00A81C78" w:rsidP="00B932C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FO CARAGA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7830"/>
      </w:tblGrid>
      <w:tr w:rsidR="00A81C78" w:rsidRPr="00FC6E01" w:rsidTr="00A81C78">
        <w:trPr>
          <w:trHeight w:val="420"/>
          <w:tblHeader/>
        </w:trPr>
        <w:tc>
          <w:tcPr>
            <w:tcW w:w="934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4066" w:type="pct"/>
            <w:vAlign w:val="center"/>
          </w:tcPr>
          <w:p w:rsidR="00A81C78" w:rsidRPr="00376584" w:rsidRDefault="00A81C78" w:rsidP="00B932C1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7658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>SITUATION / PREPAREDNESS ACTIONS</w:t>
            </w:r>
          </w:p>
        </w:tc>
      </w:tr>
      <w:tr w:rsidR="00F34EA4" w:rsidRPr="00FC6E01" w:rsidTr="00A81C78">
        <w:trPr>
          <w:trHeight w:val="420"/>
        </w:trPr>
        <w:tc>
          <w:tcPr>
            <w:tcW w:w="934" w:type="pct"/>
            <w:vAlign w:val="center"/>
          </w:tcPr>
          <w:p w:rsidR="00F34EA4" w:rsidRPr="00376584" w:rsidRDefault="00F34EA4" w:rsidP="00F34EA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June 3, 2018</w:t>
            </w:r>
          </w:p>
        </w:tc>
        <w:tc>
          <w:tcPr>
            <w:tcW w:w="4066" w:type="pct"/>
            <w:vAlign w:val="center"/>
          </w:tcPr>
          <w:p w:rsidR="00F34EA4" w:rsidRPr="00376584" w:rsidRDefault="00F34EA4" w:rsidP="00F34EA4">
            <w:pPr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356"/>
              </w:tabs>
              <w:spacing w:after="0" w:line="240" w:lineRule="auto"/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All QRT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members </w:t>
            </w:r>
            <w:r w:rsidRPr="00954D0D">
              <w:rPr>
                <w:rFonts w:ascii="Arial" w:hAnsi="Arial" w:cs="Arial"/>
                <w:color w:val="000000" w:themeColor="text1"/>
                <w:sz w:val="20"/>
                <w:szCs w:val="20"/>
              </w:rPr>
              <w:t>are on standby for possible deployment.</w:t>
            </w:r>
          </w:p>
        </w:tc>
      </w:tr>
    </w:tbl>
    <w:p w:rsidR="003B46D8" w:rsidRDefault="003B46D8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F34EA4" w:rsidRP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0"/>
        </w:rPr>
      </w:pPr>
    </w:p>
    <w:p w:rsidR="00B10486" w:rsidRDefault="00B10486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***********</w:t>
      </w:r>
    </w:p>
    <w:p w:rsidR="00F34EA4" w:rsidRDefault="00F34EA4" w:rsidP="00B932C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:rsidR="00155355" w:rsidRDefault="003D09A9" w:rsidP="00B932C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Operations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Monitoring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Information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Center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(DROMIC)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DSWD-DRMB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continues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closely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concerned </w:t>
      </w:r>
      <w:r>
        <w:rPr>
          <w:rFonts w:ascii="Arial" w:eastAsia="Arial" w:hAnsi="Arial" w:cs="Arial"/>
          <w:i/>
          <w:sz w:val="20"/>
          <w:szCs w:val="20"/>
        </w:rPr>
        <w:t>DSWD</w:t>
      </w:r>
      <w:r w:rsidR="00F34EA4">
        <w:rPr>
          <w:rFonts w:ascii="Arial" w:eastAsia="Arial" w:hAnsi="Arial" w:cs="Arial"/>
          <w:i/>
          <w:sz w:val="20"/>
          <w:szCs w:val="20"/>
        </w:rPr>
        <w:t>-</w:t>
      </w:r>
      <w:r w:rsidR="00A834B4">
        <w:rPr>
          <w:rFonts w:ascii="Arial" w:eastAsia="Arial" w:hAnsi="Arial" w:cs="Arial"/>
          <w:i/>
          <w:sz w:val="20"/>
          <w:szCs w:val="20"/>
        </w:rPr>
        <w:t xml:space="preserve">Field Offices </w:t>
      </w:r>
      <w:r>
        <w:rPr>
          <w:rFonts w:ascii="Arial" w:eastAsia="Arial" w:hAnsi="Arial" w:cs="Arial"/>
          <w:i/>
          <w:sz w:val="20"/>
          <w:szCs w:val="20"/>
        </w:rPr>
        <w:t>for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any </w:t>
      </w:r>
      <w:r>
        <w:rPr>
          <w:rFonts w:ascii="Arial" w:eastAsia="Arial" w:hAnsi="Arial" w:cs="Arial"/>
          <w:i/>
          <w:sz w:val="20"/>
          <w:szCs w:val="20"/>
        </w:rPr>
        <w:t>significant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disaster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 w:rsidR="00F34EA4">
        <w:rPr>
          <w:rFonts w:ascii="Arial" w:eastAsia="Arial" w:hAnsi="Arial" w:cs="Arial"/>
          <w:i/>
          <w:sz w:val="20"/>
          <w:szCs w:val="20"/>
        </w:rPr>
        <w:t xml:space="preserve">preparedness for </w:t>
      </w:r>
      <w:r>
        <w:rPr>
          <w:rFonts w:ascii="Arial" w:eastAsia="Arial" w:hAnsi="Arial" w:cs="Arial"/>
          <w:i/>
          <w:sz w:val="20"/>
          <w:szCs w:val="20"/>
        </w:rPr>
        <w:t>response</w:t>
      </w:r>
      <w:r w:rsidR="00546DEE">
        <w:rPr>
          <w:rFonts w:ascii="Arial" w:eastAsia="Arial" w:hAnsi="Arial" w:cs="Arial"/>
          <w:i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updates.</w:t>
      </w:r>
    </w:p>
    <w:p w:rsidR="00155355" w:rsidRDefault="00155355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34EA4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9" w:name="_GoBack"/>
      <w:bookmarkEnd w:id="9"/>
    </w:p>
    <w:p w:rsidR="00F34EA4" w:rsidRPr="00E32DE0" w:rsidRDefault="00F34EA4" w:rsidP="00B932C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0F1F6C" w:rsidRDefault="000F1F6C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0F1F6C" w:rsidRPr="000F1F6C" w:rsidRDefault="00F34EA4" w:rsidP="00B932C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BENEDICT P. FERNANDEZ</w:t>
      </w:r>
    </w:p>
    <w:p w:rsidR="00B10486" w:rsidRDefault="003D09A9" w:rsidP="00B932C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</w:t>
      </w:r>
      <w:r w:rsidR="00546DEE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Officer</w:t>
      </w:r>
    </w:p>
    <w:sectPr w:rsidR="00B10486" w:rsidSect="00F561FC">
      <w:headerReference w:type="default" r:id="rId7"/>
      <w:footerReference w:type="default" r:id="rId8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B0" w:rsidRDefault="00005CB0">
      <w:pPr>
        <w:spacing w:after="0" w:line="240" w:lineRule="auto"/>
      </w:pPr>
      <w:r>
        <w:separator/>
      </w:r>
    </w:p>
  </w:endnote>
  <w:endnote w:type="continuationSeparator" w:id="0">
    <w:p w:rsidR="00005CB0" w:rsidRDefault="00005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MV Bol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03" w:rsidRDefault="00490703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:rsidR="00490703" w:rsidRDefault="00490703" w:rsidP="00F34EA4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9808F1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9808F1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F34EA4" w:rsidRPr="00F34EA4">
      <w:rPr>
        <w:rFonts w:ascii="Arial" w:eastAsia="Arial" w:hAnsi="Arial" w:cs="Arial"/>
        <w:sz w:val="16"/>
        <w:szCs w:val="16"/>
      </w:rPr>
      <w:t>DSWD DROMIC Prep</w:t>
    </w:r>
    <w:r w:rsidR="00F34EA4">
      <w:rPr>
        <w:rFonts w:ascii="Arial" w:eastAsia="Arial" w:hAnsi="Arial" w:cs="Arial"/>
        <w:sz w:val="16"/>
        <w:szCs w:val="16"/>
      </w:rPr>
      <w:t xml:space="preserve">aredness for Response Report #1 </w:t>
    </w:r>
    <w:r w:rsidR="00F34EA4" w:rsidRPr="00F34EA4">
      <w:rPr>
        <w:rFonts w:ascii="Arial" w:eastAsia="Arial" w:hAnsi="Arial" w:cs="Arial"/>
        <w:sz w:val="16"/>
        <w:szCs w:val="16"/>
      </w:rPr>
      <w:t>on the</w:t>
    </w:r>
    <w:r w:rsidR="00F34EA4">
      <w:rPr>
        <w:rFonts w:ascii="Arial" w:eastAsia="Arial" w:hAnsi="Arial" w:cs="Arial"/>
        <w:sz w:val="16"/>
        <w:szCs w:val="16"/>
      </w:rPr>
      <w:t xml:space="preserve"> Low Pressure Areas [June 2018] </w:t>
    </w:r>
    <w:r w:rsidR="00F34EA4" w:rsidRPr="00F34EA4">
      <w:rPr>
        <w:rFonts w:ascii="Arial" w:eastAsia="Arial" w:hAnsi="Arial" w:cs="Arial"/>
        <w:sz w:val="16"/>
        <w:szCs w:val="16"/>
      </w:rPr>
      <w:t xml:space="preserve">as of 3 June 2018, </w:t>
    </w:r>
    <w:r w:rsidR="00F34EA4">
      <w:rPr>
        <w:rFonts w:ascii="Arial" w:eastAsia="Arial" w:hAnsi="Arial" w:cs="Arial"/>
        <w:sz w:val="16"/>
        <w:szCs w:val="16"/>
      </w:rPr>
      <w:t>9</w:t>
    </w:r>
    <w:r w:rsidR="00F34EA4" w:rsidRPr="00F34EA4">
      <w:rPr>
        <w:rFonts w:ascii="Arial" w:eastAsia="Arial" w:hAnsi="Arial" w:cs="Arial"/>
        <w:sz w:val="16"/>
        <w:szCs w:val="16"/>
      </w:rPr>
      <w:t>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B0" w:rsidRDefault="00005CB0">
      <w:pPr>
        <w:spacing w:after="0" w:line="240" w:lineRule="auto"/>
      </w:pPr>
      <w:r>
        <w:separator/>
      </w:r>
    </w:p>
  </w:footnote>
  <w:footnote w:type="continuationSeparator" w:id="0">
    <w:p w:rsidR="00005CB0" w:rsidRDefault="00005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03" w:rsidRDefault="00490703" w:rsidP="00A81C78">
    <w:pPr>
      <w:tabs>
        <w:tab w:val="center" w:pos="4680"/>
        <w:tab w:val="right" w:pos="9360"/>
      </w:tabs>
      <w:spacing w:after="0" w:line="240" w:lineRule="auto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91ECF0A" wp14:editId="0DF9AA12">
          <wp:simplePos x="0" y="0"/>
          <wp:positionH relativeFrom="margin">
            <wp:posOffset>-91440</wp:posOffset>
          </wp:positionH>
          <wp:positionV relativeFrom="paragraph">
            <wp:posOffset>132080</wp:posOffset>
          </wp:positionV>
          <wp:extent cx="2225040" cy="668655"/>
          <wp:effectExtent l="0" t="0" r="381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590"/>
                  <a:stretch/>
                </pic:blipFill>
                <pic:spPr bwMode="auto">
                  <a:xfrm>
                    <a:off x="0" y="0"/>
                    <a:ext cx="2225040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816850" cy="78486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191"/>
                  <a:stretch/>
                </pic:blipFill>
                <pic:spPr bwMode="auto">
                  <a:xfrm>
                    <a:off x="0" y="0"/>
                    <a:ext cx="1816850" cy="7848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90703" w:rsidRDefault="00490703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490703" w:rsidRDefault="00490703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490703" w:rsidRDefault="00490703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490703" w:rsidRDefault="00490703" w:rsidP="00A81C78">
    <w:pPr>
      <w:tabs>
        <w:tab w:val="center" w:pos="4680"/>
        <w:tab w:val="right" w:pos="9360"/>
      </w:tabs>
      <w:spacing w:after="0" w:line="240" w:lineRule="auto"/>
      <w:jc w:val="both"/>
    </w:pPr>
  </w:p>
  <w:p w:rsidR="00490703" w:rsidRPr="00BE1AB9" w:rsidRDefault="00490703" w:rsidP="00BE1AB9">
    <w:pPr>
      <w:pBdr>
        <w:bottom w:val="single" w:sz="6" w:space="0" w:color="000000"/>
      </w:pBdr>
      <w:tabs>
        <w:tab w:val="center" w:pos="4680"/>
        <w:tab w:val="right" w:pos="9360"/>
      </w:tabs>
      <w:spacing w:after="0" w:line="240" w:lineRule="auto"/>
      <w:rPr>
        <w:sz w:val="4"/>
      </w:rPr>
    </w:pPr>
  </w:p>
  <w:p w:rsidR="00490703" w:rsidRDefault="00490703">
    <w:pPr>
      <w:pBdr>
        <w:top w:val="none" w:sz="0" w:space="0" w:color="000000"/>
      </w:pBd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2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0"/>
  </w:num>
  <w:num w:numId="10">
    <w:abstractNumId w:val="4"/>
  </w:num>
  <w:num w:numId="11">
    <w:abstractNumId w:val="11"/>
  </w:num>
  <w:num w:numId="12">
    <w:abstractNumId w:val="5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132B4"/>
    <w:rsid w:val="00020ECE"/>
    <w:rsid w:val="000234D2"/>
    <w:rsid w:val="00026080"/>
    <w:rsid w:val="000408C0"/>
    <w:rsid w:val="00044A86"/>
    <w:rsid w:val="000762A0"/>
    <w:rsid w:val="00085176"/>
    <w:rsid w:val="000962B5"/>
    <w:rsid w:val="00096FF5"/>
    <w:rsid w:val="00097C1F"/>
    <w:rsid w:val="000A1C46"/>
    <w:rsid w:val="000C196B"/>
    <w:rsid w:val="000C6698"/>
    <w:rsid w:val="000D1A9D"/>
    <w:rsid w:val="000E09D8"/>
    <w:rsid w:val="000F10AC"/>
    <w:rsid w:val="000F1F6C"/>
    <w:rsid w:val="000F3578"/>
    <w:rsid w:val="00122989"/>
    <w:rsid w:val="00150801"/>
    <w:rsid w:val="00152CAC"/>
    <w:rsid w:val="00153232"/>
    <w:rsid w:val="00155355"/>
    <w:rsid w:val="001606A4"/>
    <w:rsid w:val="001618E9"/>
    <w:rsid w:val="00162223"/>
    <w:rsid w:val="00163E15"/>
    <w:rsid w:val="00171DE9"/>
    <w:rsid w:val="00172BA8"/>
    <w:rsid w:val="00174E88"/>
    <w:rsid w:val="00182E76"/>
    <w:rsid w:val="001836FA"/>
    <w:rsid w:val="0018499D"/>
    <w:rsid w:val="00194BAC"/>
    <w:rsid w:val="00197C40"/>
    <w:rsid w:val="001A5783"/>
    <w:rsid w:val="001D01A8"/>
    <w:rsid w:val="001E26B4"/>
    <w:rsid w:val="002147BF"/>
    <w:rsid w:val="002233C1"/>
    <w:rsid w:val="00224A0B"/>
    <w:rsid w:val="002338D6"/>
    <w:rsid w:val="00235815"/>
    <w:rsid w:val="0024676B"/>
    <w:rsid w:val="00252A46"/>
    <w:rsid w:val="002541B5"/>
    <w:rsid w:val="002550AB"/>
    <w:rsid w:val="00261033"/>
    <w:rsid w:val="00265DF5"/>
    <w:rsid w:val="00280BEA"/>
    <w:rsid w:val="00284FBC"/>
    <w:rsid w:val="00287526"/>
    <w:rsid w:val="00292871"/>
    <w:rsid w:val="00293BBD"/>
    <w:rsid w:val="00294E5E"/>
    <w:rsid w:val="002D3418"/>
    <w:rsid w:val="002F5178"/>
    <w:rsid w:val="002F713F"/>
    <w:rsid w:val="00305764"/>
    <w:rsid w:val="003277B9"/>
    <w:rsid w:val="00331650"/>
    <w:rsid w:val="00341112"/>
    <w:rsid w:val="003478E6"/>
    <w:rsid w:val="00366D42"/>
    <w:rsid w:val="00376584"/>
    <w:rsid w:val="00377F27"/>
    <w:rsid w:val="00383309"/>
    <w:rsid w:val="00384E5A"/>
    <w:rsid w:val="003870A7"/>
    <w:rsid w:val="00390877"/>
    <w:rsid w:val="00391318"/>
    <w:rsid w:val="00397271"/>
    <w:rsid w:val="003B1652"/>
    <w:rsid w:val="003B46D8"/>
    <w:rsid w:val="003B524C"/>
    <w:rsid w:val="003C7DE1"/>
    <w:rsid w:val="003D09A9"/>
    <w:rsid w:val="003D357A"/>
    <w:rsid w:val="003D4AAB"/>
    <w:rsid w:val="003D4DF7"/>
    <w:rsid w:val="003E27EE"/>
    <w:rsid w:val="003F0D46"/>
    <w:rsid w:val="00402969"/>
    <w:rsid w:val="004033F8"/>
    <w:rsid w:val="004134A7"/>
    <w:rsid w:val="00425689"/>
    <w:rsid w:val="0042628C"/>
    <w:rsid w:val="004334A9"/>
    <w:rsid w:val="00447043"/>
    <w:rsid w:val="0045417C"/>
    <w:rsid w:val="00456B0E"/>
    <w:rsid w:val="0046391D"/>
    <w:rsid w:val="004801A8"/>
    <w:rsid w:val="00485FAA"/>
    <w:rsid w:val="004867BA"/>
    <w:rsid w:val="00490703"/>
    <w:rsid w:val="00495369"/>
    <w:rsid w:val="004B6A6E"/>
    <w:rsid w:val="004B6B6D"/>
    <w:rsid w:val="004C55DA"/>
    <w:rsid w:val="004D1392"/>
    <w:rsid w:val="004E2DCF"/>
    <w:rsid w:val="005073A3"/>
    <w:rsid w:val="005101BD"/>
    <w:rsid w:val="0051518E"/>
    <w:rsid w:val="00543A35"/>
    <w:rsid w:val="00544DE0"/>
    <w:rsid w:val="00546DEE"/>
    <w:rsid w:val="00557D52"/>
    <w:rsid w:val="0056425D"/>
    <w:rsid w:val="00580432"/>
    <w:rsid w:val="0059459E"/>
    <w:rsid w:val="00594DB7"/>
    <w:rsid w:val="005A4EFD"/>
    <w:rsid w:val="005C25C9"/>
    <w:rsid w:val="00606AB1"/>
    <w:rsid w:val="00611D34"/>
    <w:rsid w:val="006348B0"/>
    <w:rsid w:val="00636A32"/>
    <w:rsid w:val="00637CFE"/>
    <w:rsid w:val="00646FEA"/>
    <w:rsid w:val="006552C0"/>
    <w:rsid w:val="00667EC5"/>
    <w:rsid w:val="00672031"/>
    <w:rsid w:val="00676AC7"/>
    <w:rsid w:val="00695D36"/>
    <w:rsid w:val="0069611E"/>
    <w:rsid w:val="00696FAF"/>
    <w:rsid w:val="006A73E5"/>
    <w:rsid w:val="006B6490"/>
    <w:rsid w:val="006C3732"/>
    <w:rsid w:val="006D67C6"/>
    <w:rsid w:val="006E08CA"/>
    <w:rsid w:val="006E6AC7"/>
    <w:rsid w:val="00701F97"/>
    <w:rsid w:val="007029A9"/>
    <w:rsid w:val="00703E20"/>
    <w:rsid w:val="00724F05"/>
    <w:rsid w:val="00742851"/>
    <w:rsid w:val="0074516B"/>
    <w:rsid w:val="00752F0C"/>
    <w:rsid w:val="007650E4"/>
    <w:rsid w:val="00777580"/>
    <w:rsid w:val="007B1691"/>
    <w:rsid w:val="007B3DBB"/>
    <w:rsid w:val="007B3E6C"/>
    <w:rsid w:val="007C6311"/>
    <w:rsid w:val="007C69A0"/>
    <w:rsid w:val="007D613E"/>
    <w:rsid w:val="007D707B"/>
    <w:rsid w:val="007E1ED0"/>
    <w:rsid w:val="007F2FAD"/>
    <w:rsid w:val="00802BDE"/>
    <w:rsid w:val="0080446A"/>
    <w:rsid w:val="00810D26"/>
    <w:rsid w:val="00813B96"/>
    <w:rsid w:val="0081704F"/>
    <w:rsid w:val="008175EC"/>
    <w:rsid w:val="00822750"/>
    <w:rsid w:val="0082339E"/>
    <w:rsid w:val="0082465B"/>
    <w:rsid w:val="008263D0"/>
    <w:rsid w:val="0082725D"/>
    <w:rsid w:val="00854CB5"/>
    <w:rsid w:val="008626A4"/>
    <w:rsid w:val="00863692"/>
    <w:rsid w:val="008748D8"/>
    <w:rsid w:val="00876F3E"/>
    <w:rsid w:val="0087788A"/>
    <w:rsid w:val="00885E31"/>
    <w:rsid w:val="008C5231"/>
    <w:rsid w:val="008E4DF8"/>
    <w:rsid w:val="008F379C"/>
    <w:rsid w:val="008F5202"/>
    <w:rsid w:val="008F5738"/>
    <w:rsid w:val="008F5D6F"/>
    <w:rsid w:val="0090173D"/>
    <w:rsid w:val="009244C0"/>
    <w:rsid w:val="0093050B"/>
    <w:rsid w:val="00931CF2"/>
    <w:rsid w:val="00932578"/>
    <w:rsid w:val="00945FC4"/>
    <w:rsid w:val="00954D0D"/>
    <w:rsid w:val="009808F1"/>
    <w:rsid w:val="00984253"/>
    <w:rsid w:val="009A5F9E"/>
    <w:rsid w:val="009B16FB"/>
    <w:rsid w:val="009B3D59"/>
    <w:rsid w:val="009C7C3C"/>
    <w:rsid w:val="009E27AF"/>
    <w:rsid w:val="009F0D31"/>
    <w:rsid w:val="009F1782"/>
    <w:rsid w:val="00A10651"/>
    <w:rsid w:val="00A14AF1"/>
    <w:rsid w:val="00A177FC"/>
    <w:rsid w:val="00A254E0"/>
    <w:rsid w:val="00A26DFC"/>
    <w:rsid w:val="00A329E3"/>
    <w:rsid w:val="00A360D4"/>
    <w:rsid w:val="00A3643A"/>
    <w:rsid w:val="00A440A6"/>
    <w:rsid w:val="00A55D0B"/>
    <w:rsid w:val="00A6302A"/>
    <w:rsid w:val="00A73F06"/>
    <w:rsid w:val="00A804E3"/>
    <w:rsid w:val="00A81C78"/>
    <w:rsid w:val="00A8201C"/>
    <w:rsid w:val="00A834B4"/>
    <w:rsid w:val="00A8461F"/>
    <w:rsid w:val="00A91B96"/>
    <w:rsid w:val="00A92D93"/>
    <w:rsid w:val="00AA35BA"/>
    <w:rsid w:val="00AB1012"/>
    <w:rsid w:val="00AB4B4D"/>
    <w:rsid w:val="00AB730C"/>
    <w:rsid w:val="00AC54BD"/>
    <w:rsid w:val="00AD0CEC"/>
    <w:rsid w:val="00AD1686"/>
    <w:rsid w:val="00AE2EEB"/>
    <w:rsid w:val="00AF1029"/>
    <w:rsid w:val="00B0423A"/>
    <w:rsid w:val="00B10486"/>
    <w:rsid w:val="00B1591C"/>
    <w:rsid w:val="00B17164"/>
    <w:rsid w:val="00B238F1"/>
    <w:rsid w:val="00B27212"/>
    <w:rsid w:val="00B34D3A"/>
    <w:rsid w:val="00B35A11"/>
    <w:rsid w:val="00B571E4"/>
    <w:rsid w:val="00B62D76"/>
    <w:rsid w:val="00B70A42"/>
    <w:rsid w:val="00B77009"/>
    <w:rsid w:val="00B866CB"/>
    <w:rsid w:val="00B932C1"/>
    <w:rsid w:val="00B9372F"/>
    <w:rsid w:val="00B951A0"/>
    <w:rsid w:val="00BB574D"/>
    <w:rsid w:val="00BB7E09"/>
    <w:rsid w:val="00BC2501"/>
    <w:rsid w:val="00BC533B"/>
    <w:rsid w:val="00BD10D0"/>
    <w:rsid w:val="00BD5A8C"/>
    <w:rsid w:val="00BE1AB9"/>
    <w:rsid w:val="00BE5C3A"/>
    <w:rsid w:val="00BF2BA8"/>
    <w:rsid w:val="00BF6524"/>
    <w:rsid w:val="00C00C48"/>
    <w:rsid w:val="00C33267"/>
    <w:rsid w:val="00C43BDA"/>
    <w:rsid w:val="00C455D0"/>
    <w:rsid w:val="00C47CBF"/>
    <w:rsid w:val="00C60386"/>
    <w:rsid w:val="00C62B62"/>
    <w:rsid w:val="00C63453"/>
    <w:rsid w:val="00C6532B"/>
    <w:rsid w:val="00C67BB2"/>
    <w:rsid w:val="00C768F0"/>
    <w:rsid w:val="00CA2D0F"/>
    <w:rsid w:val="00CA4BCD"/>
    <w:rsid w:val="00CA4E4D"/>
    <w:rsid w:val="00CB1BC9"/>
    <w:rsid w:val="00CB22FC"/>
    <w:rsid w:val="00CD2EC0"/>
    <w:rsid w:val="00CF30C3"/>
    <w:rsid w:val="00CF6CA2"/>
    <w:rsid w:val="00CF786F"/>
    <w:rsid w:val="00D018CB"/>
    <w:rsid w:val="00D01F5A"/>
    <w:rsid w:val="00D278C1"/>
    <w:rsid w:val="00D307D8"/>
    <w:rsid w:val="00D325D1"/>
    <w:rsid w:val="00D43941"/>
    <w:rsid w:val="00D63FBA"/>
    <w:rsid w:val="00D93477"/>
    <w:rsid w:val="00DA0433"/>
    <w:rsid w:val="00DA1FDD"/>
    <w:rsid w:val="00DA4074"/>
    <w:rsid w:val="00DC0B44"/>
    <w:rsid w:val="00DC45D6"/>
    <w:rsid w:val="00DE2C1A"/>
    <w:rsid w:val="00DE3688"/>
    <w:rsid w:val="00DF3FD0"/>
    <w:rsid w:val="00DF434E"/>
    <w:rsid w:val="00E060F9"/>
    <w:rsid w:val="00E238AB"/>
    <w:rsid w:val="00E25AF1"/>
    <w:rsid w:val="00E32DE0"/>
    <w:rsid w:val="00E44A97"/>
    <w:rsid w:val="00E47B18"/>
    <w:rsid w:val="00E50999"/>
    <w:rsid w:val="00E67372"/>
    <w:rsid w:val="00E72E81"/>
    <w:rsid w:val="00E8358D"/>
    <w:rsid w:val="00E8443D"/>
    <w:rsid w:val="00E90FE4"/>
    <w:rsid w:val="00EA0A6E"/>
    <w:rsid w:val="00EA1D50"/>
    <w:rsid w:val="00EA2336"/>
    <w:rsid w:val="00EA6B39"/>
    <w:rsid w:val="00EB3223"/>
    <w:rsid w:val="00EB32AD"/>
    <w:rsid w:val="00EB48F7"/>
    <w:rsid w:val="00EC077D"/>
    <w:rsid w:val="00EC1B28"/>
    <w:rsid w:val="00EC359A"/>
    <w:rsid w:val="00ED018D"/>
    <w:rsid w:val="00ED3A01"/>
    <w:rsid w:val="00ED56CF"/>
    <w:rsid w:val="00EF2DCC"/>
    <w:rsid w:val="00EF3E07"/>
    <w:rsid w:val="00F0291A"/>
    <w:rsid w:val="00F0378F"/>
    <w:rsid w:val="00F10727"/>
    <w:rsid w:val="00F119B5"/>
    <w:rsid w:val="00F1590E"/>
    <w:rsid w:val="00F22E7D"/>
    <w:rsid w:val="00F22F9C"/>
    <w:rsid w:val="00F26583"/>
    <w:rsid w:val="00F34EA4"/>
    <w:rsid w:val="00F35454"/>
    <w:rsid w:val="00F4079B"/>
    <w:rsid w:val="00F42732"/>
    <w:rsid w:val="00F444E9"/>
    <w:rsid w:val="00F55241"/>
    <w:rsid w:val="00F561FC"/>
    <w:rsid w:val="00F611D2"/>
    <w:rsid w:val="00F613F1"/>
    <w:rsid w:val="00F67B1D"/>
    <w:rsid w:val="00F70DBA"/>
    <w:rsid w:val="00F733D9"/>
    <w:rsid w:val="00F91779"/>
    <w:rsid w:val="00FA71E5"/>
    <w:rsid w:val="00FB6498"/>
    <w:rsid w:val="00FC192D"/>
    <w:rsid w:val="00FD3CA7"/>
    <w:rsid w:val="00FE6EC9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D9B35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1856</Words>
  <Characters>10581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Benedict P. Fernandez</cp:lastModifiedBy>
  <cp:revision>4</cp:revision>
  <dcterms:created xsi:type="dcterms:W3CDTF">2018-06-03T01:00:00Z</dcterms:created>
  <dcterms:modified xsi:type="dcterms:W3CDTF">2018-06-03T01:01:00Z</dcterms:modified>
</cp:coreProperties>
</file>