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DROMIC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A81C78">
        <w:rPr>
          <w:rFonts w:ascii="Arial" w:eastAsia="Arial" w:hAnsi="Arial" w:cs="Arial"/>
          <w:b/>
          <w:sz w:val="32"/>
          <w:szCs w:val="32"/>
        </w:rPr>
        <w:t xml:space="preserve">Preparedness for Response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#</w:t>
      </w:r>
      <w:r w:rsidR="005940C2">
        <w:rPr>
          <w:rFonts w:ascii="Arial" w:eastAsia="Arial" w:hAnsi="Arial" w:cs="Arial"/>
          <w:b/>
          <w:sz w:val="32"/>
          <w:szCs w:val="32"/>
        </w:rPr>
        <w:t>2</w:t>
      </w:r>
      <w:bookmarkStart w:id="1" w:name="_GoBack"/>
      <w:bookmarkEnd w:id="1"/>
    </w:p>
    <w:p w:rsidR="00155355" w:rsidRPr="00A81C78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on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the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E44A9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Low Pressure Area</w:t>
      </w:r>
      <w:r w:rsidR="00DA0433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s</w:t>
      </w:r>
      <w:r w:rsidR="00E44A9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 xml:space="preserve"> </w:t>
      </w:r>
      <w:r w:rsidR="00B932C1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[June 2018]</w:t>
      </w:r>
    </w:p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5940C2">
        <w:rPr>
          <w:rFonts w:ascii="Arial" w:eastAsia="Arial" w:hAnsi="Arial" w:cs="Arial"/>
          <w:sz w:val="24"/>
          <w:szCs w:val="24"/>
        </w:rPr>
        <w:t>5</w:t>
      </w:r>
      <w:r w:rsidR="003B1652">
        <w:rPr>
          <w:rFonts w:ascii="Arial" w:eastAsia="Arial" w:hAnsi="Arial" w:cs="Arial"/>
          <w:sz w:val="24"/>
          <w:szCs w:val="24"/>
        </w:rPr>
        <w:t xml:space="preserve"> </w:t>
      </w:r>
      <w:r w:rsidR="00B932C1">
        <w:rPr>
          <w:rFonts w:ascii="Arial" w:eastAsia="Arial" w:hAnsi="Arial" w:cs="Arial"/>
          <w:sz w:val="24"/>
          <w:szCs w:val="24"/>
        </w:rPr>
        <w:t>June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2018,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5940C2">
        <w:rPr>
          <w:rFonts w:ascii="Arial" w:eastAsia="Arial" w:hAnsi="Arial" w:cs="Arial"/>
          <w:sz w:val="24"/>
          <w:szCs w:val="24"/>
        </w:rPr>
        <w:t>8</w:t>
      </w:r>
      <w:r w:rsidR="00B932C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8F5D6F" w:rsidRDefault="008F5D6F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A81C78" w:rsidRPr="00B932C1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color w:val="0070C0"/>
        </w:rPr>
      </w:pPr>
    </w:p>
    <w:p w:rsidR="00A81C78" w:rsidRPr="00FF5B80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b/>
          <w:color w:val="002060"/>
          <w:sz w:val="28"/>
        </w:rPr>
      </w:pPr>
      <w:r w:rsidRPr="00FF5B80">
        <w:rPr>
          <w:rFonts w:ascii="Arial" w:hAnsi="Arial" w:cs="Arial"/>
          <w:b/>
          <w:color w:val="002060"/>
          <w:sz w:val="28"/>
        </w:rPr>
        <w:t xml:space="preserve">Weather Bulletin </w:t>
      </w:r>
    </w:p>
    <w:p w:rsidR="00B932C1" w:rsidRDefault="00B932C1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932C1" w:rsidRPr="008F5D6F" w:rsidRDefault="00E752E5" w:rsidP="00B932C1">
      <w:pPr>
        <w:pStyle w:val="NoSpacing1"/>
        <w:jc w:val="both"/>
        <w:rPr>
          <w:rFonts w:ascii="Arial" w:hAnsi="Arial" w:cs="Arial"/>
          <w:sz w:val="24"/>
          <w:szCs w:val="24"/>
        </w:rPr>
      </w:pPr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>As of 3:00 am today,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June 5, 2018, the Low Pressure Area (</w:t>
      </w:r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LPA) embedded in the Intertropical Convergence Zone(ITCZ) was estimated, based on all available data, at 795 km East of </w:t>
      </w:r>
      <w:proofErr w:type="spellStart"/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>Surigao</w:t>
      </w:r>
      <w:proofErr w:type="spellEnd"/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City, </w:t>
      </w:r>
      <w:proofErr w:type="spellStart"/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>Surigao</w:t>
      </w:r>
      <w:proofErr w:type="spellEnd"/>
      <w:r w:rsidRPr="00E752E5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del Norte (10.0 ºN, 132.7 ºE).</w:t>
      </w:r>
    </w:p>
    <w:p w:rsidR="00B932C1" w:rsidRDefault="00B932C1" w:rsidP="00B932C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1E73AB" w:rsidRDefault="00A81C78" w:rsidP="00B932C1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1E73AB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1E73AB">
        <w:rPr>
          <w:rFonts w:ascii="Arial" w:hAnsi="Arial" w:cs="Arial"/>
          <w:i/>
          <w:color w:val="0070C0"/>
          <w:sz w:val="16"/>
          <w:szCs w:val="24"/>
        </w:rPr>
        <w:instrText xml:space="preserve"> HYPERLINK "http://kidlat.pagasa.dost.gov.ph/index.php/general-weather/daily-weather-forecast" </w:instrTex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1E73AB">
        <w:rPr>
          <w:rStyle w:val="Hyperlink"/>
          <w:rFonts w:ascii="Arial" w:hAnsi="Arial" w:cs="Arial"/>
          <w:i/>
          <w:color w:val="0070C0"/>
          <w:sz w:val="16"/>
          <w:szCs w:val="24"/>
        </w:rPr>
        <w:t>DOST-PAGASA Daily Weather Forecast</w: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0AE2" w:rsidRDefault="00A50AE2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50AE2" w:rsidRDefault="00A50AE2" w:rsidP="00A50AE2">
      <w:pPr>
        <w:pStyle w:val="Heading1"/>
        <w:spacing w:before="0" w:after="0"/>
        <w:jc w:val="both"/>
      </w:pPr>
      <w:r>
        <w:rPr>
          <w:rFonts w:ascii="Arial" w:hAnsi="Arial" w:cs="Arial"/>
          <w:color w:val="002060"/>
          <w:sz w:val="28"/>
          <w:szCs w:val="28"/>
        </w:rPr>
        <w:t>Predictive Analytics for Humanitarian Response</w:t>
      </w:r>
    </w:p>
    <w:p w:rsidR="00A50AE2" w:rsidRDefault="00A50AE2" w:rsidP="00A50A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</w:rPr>
        <w:t xml:space="preserve">Based on the GSM and WRF data of PAGASA initialized on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2018</w:t>
      </w:r>
      <w:r>
        <w:rPr>
          <w:rFonts w:ascii="Arial" w:hAnsi="Arial" w:cs="Arial"/>
        </w:rPr>
        <w:t xml:space="preserve">, 2AM, the DSWD Predictive Analytics for Humanitarian Response results show </w:t>
      </w:r>
      <w:r w:rsidR="00E752E5" w:rsidRPr="00AF2F53">
        <w:rPr>
          <w:rFonts w:ascii="Arial" w:hAnsi="Arial" w:cs="Arial"/>
          <w:b/>
          <w:bCs/>
          <w:color w:val="0070C0"/>
        </w:rPr>
        <w:t>188,334 persons</w:t>
      </w:r>
      <w:r w:rsidRPr="00AF2F5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(see Figure 1) </w:t>
      </w:r>
      <w:r w:rsidR="00E752E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exposed to high susceptibility of flooding and rain-induced landslide in the next 72 hours; of which, </w:t>
      </w:r>
      <w:r w:rsidR="00E752E5" w:rsidRPr="00AF2F53">
        <w:rPr>
          <w:rFonts w:ascii="Arial" w:hAnsi="Arial" w:cs="Arial"/>
          <w:b/>
          <w:bCs/>
          <w:color w:val="0070C0"/>
        </w:rPr>
        <w:t>11,532</w:t>
      </w:r>
      <w:r w:rsidRPr="00AF2F53">
        <w:rPr>
          <w:rFonts w:ascii="Arial" w:hAnsi="Arial" w:cs="Arial"/>
          <w:b/>
          <w:bCs/>
          <w:color w:val="0070C0"/>
        </w:rPr>
        <w:t xml:space="preserve"> families are poor</w:t>
      </w:r>
      <w:r w:rsidRPr="00AF2F5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(see Figure 2).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52E5">
        <w:rPr>
          <w:rFonts w:ascii="Arial" w:hAnsi="Arial" w:cs="Arial"/>
          <w:b/>
          <w:bCs/>
          <w:iCs/>
          <w:sz w:val="20"/>
          <w:szCs w:val="20"/>
        </w:rPr>
        <w:t>Figure 1. Exposed Population (PSA), Required FFPs, and Cost</w:t>
      </w: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3985" cy="336298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04" cy="33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:rsid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bCs/>
          <w:iCs/>
          <w:sz w:val="20"/>
          <w:szCs w:val="20"/>
        </w:rPr>
      </w:pPr>
      <w:r w:rsidRPr="00E752E5">
        <w:rPr>
          <w:rFonts w:ascii="Arial" w:hAnsi="Arial" w:cs="Arial"/>
          <w:b/>
          <w:bCs/>
          <w:iCs/>
          <w:sz w:val="20"/>
          <w:szCs w:val="20"/>
        </w:rPr>
        <w:lastRenderedPageBreak/>
        <w:t>Figure 2. Exposed Poor Families (DSWD), Required FFPs, and Cost</w:t>
      </w:r>
    </w:p>
    <w:p w:rsidR="00E752E5" w:rsidRPr="00E752E5" w:rsidRDefault="00E752E5" w:rsidP="00B932C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56985" cy="3406108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73" cy="34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E2" w:rsidRDefault="00A50AE2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52E5" w:rsidRDefault="00E752E5" w:rsidP="00B932C1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7" w:name="_Prepositioned_Resources:_Stockpile_1"/>
      <w:bookmarkEnd w:id="7"/>
    </w:p>
    <w:p w:rsidR="00A81C78" w:rsidRPr="001E73AB" w:rsidRDefault="00A81C78" w:rsidP="00B932C1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1E73AB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Default="00B932C1" w:rsidP="00B932C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696FAF" w:rsidRDefault="00696FAF" w:rsidP="00B932C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5940C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940C2" w:rsidRPr="005940C2">
        <w:rPr>
          <w:rFonts w:ascii="Arial" w:eastAsia="Arial" w:hAnsi="Arial" w:cs="Arial"/>
          <w:b/>
          <w:color w:val="0070C0"/>
          <w:sz w:val="24"/>
          <w:szCs w:val="24"/>
        </w:rPr>
        <w:t>1,155,738,750.94</w:t>
      </w: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 with breakdown as follows:</w:t>
      </w:r>
    </w:p>
    <w:p w:rsidR="00A81C78" w:rsidRPr="002C7EE4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7EE4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696FAF" w:rsidRPr="00696FAF" w:rsidRDefault="00696FAF" w:rsidP="00B932C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2</w:t>
      </w:r>
      <w:r w:rsidRPr="00696FAF">
        <w:rPr>
          <w:rFonts w:ascii="Arial" w:eastAsia="Arial" w:hAnsi="Arial" w:cs="Arial"/>
          <w:b/>
          <w:sz w:val="24"/>
          <w:szCs w:val="24"/>
        </w:rPr>
        <w:t>07,2</w:t>
      </w:r>
      <w:r w:rsidR="00490703">
        <w:rPr>
          <w:rFonts w:ascii="Arial" w:eastAsia="Arial" w:hAnsi="Arial" w:cs="Arial"/>
          <w:b/>
          <w:sz w:val="24"/>
          <w:szCs w:val="24"/>
        </w:rPr>
        <w:t>23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921</w:t>
      </w:r>
      <w:r w:rsidRPr="00696FAF">
        <w:rPr>
          <w:rFonts w:ascii="Arial" w:eastAsia="Arial" w:hAnsi="Arial" w:cs="Arial"/>
          <w:b/>
          <w:sz w:val="24"/>
          <w:szCs w:val="24"/>
        </w:rPr>
        <w:t>.</w:t>
      </w:r>
      <w:r w:rsidR="00490703">
        <w:rPr>
          <w:rFonts w:ascii="Arial" w:eastAsia="Arial" w:hAnsi="Arial" w:cs="Arial"/>
          <w:b/>
          <w:sz w:val="24"/>
          <w:szCs w:val="24"/>
        </w:rPr>
        <w:t>85</w:t>
      </w:r>
      <w:r w:rsidRPr="00696F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>standby funds in the CO and FOs. Of the said amount,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165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18</w:t>
      </w:r>
      <w:r w:rsidRPr="00696FAF">
        <w:rPr>
          <w:rFonts w:ascii="Arial" w:eastAsia="Arial" w:hAnsi="Arial" w:cs="Arial"/>
          <w:b/>
          <w:sz w:val="24"/>
          <w:szCs w:val="24"/>
        </w:rPr>
        <w:t>1,</w:t>
      </w:r>
      <w:r w:rsidR="00490703">
        <w:rPr>
          <w:rFonts w:ascii="Arial" w:eastAsia="Arial" w:hAnsi="Arial" w:cs="Arial"/>
          <w:b/>
          <w:sz w:val="24"/>
          <w:szCs w:val="24"/>
        </w:rPr>
        <w:t>069</w:t>
      </w:r>
      <w:r w:rsidRPr="00696FAF">
        <w:rPr>
          <w:rFonts w:ascii="Arial" w:eastAsia="Arial" w:hAnsi="Arial" w:cs="Arial"/>
          <w:b/>
          <w:sz w:val="24"/>
          <w:szCs w:val="24"/>
        </w:rPr>
        <w:t>.00</w:t>
      </w:r>
      <w:r w:rsidRPr="00696FAF">
        <w:rPr>
          <w:rFonts w:ascii="Arial" w:eastAsia="Arial" w:hAnsi="Arial" w:cs="Arial"/>
          <w:sz w:val="24"/>
          <w:szCs w:val="24"/>
        </w:rPr>
        <w:t xml:space="preserve"> is the available Quick Response Fund in the CO.</w:t>
      </w:r>
    </w:p>
    <w:p w:rsidR="00A81C78" w:rsidRPr="002C7EE4" w:rsidRDefault="00A81C78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C7EE4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="005940C2" w:rsidRPr="005940C2">
        <w:rPr>
          <w:rFonts w:ascii="Arial" w:eastAsia="Arial" w:hAnsi="Arial" w:cs="Arial"/>
          <w:b/>
          <w:color w:val="0070C0"/>
          <w:sz w:val="24"/>
          <w:szCs w:val="24"/>
        </w:rPr>
        <w:t>447,900</w:t>
      </w:r>
      <w:r w:rsidRPr="005940C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Family Food Packs (FFPs) amounting to </w:t>
      </w:r>
      <w:r w:rsidRPr="005940C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940C2" w:rsidRPr="005940C2">
        <w:rPr>
          <w:rFonts w:ascii="Arial" w:eastAsia="Arial" w:hAnsi="Arial" w:cs="Arial"/>
          <w:b/>
          <w:color w:val="0070C0"/>
          <w:sz w:val="24"/>
          <w:szCs w:val="24"/>
        </w:rPr>
        <w:t>155,990,976.28</w:t>
      </w:r>
      <w:r w:rsidRPr="005940C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>and 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Food and Non-food Items (FNIs) amounting to </w:t>
      </w: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792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523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85</w:t>
      </w:r>
      <w:r w:rsidRPr="00696FAF">
        <w:rPr>
          <w:rFonts w:ascii="Arial" w:eastAsia="Arial" w:hAnsi="Arial" w:cs="Arial"/>
          <w:b/>
          <w:sz w:val="24"/>
          <w:szCs w:val="24"/>
        </w:rPr>
        <w:t>2.</w:t>
      </w:r>
      <w:r w:rsidR="00490703">
        <w:rPr>
          <w:rFonts w:ascii="Arial" w:eastAsia="Arial" w:hAnsi="Arial" w:cs="Arial"/>
          <w:b/>
          <w:sz w:val="24"/>
          <w:szCs w:val="24"/>
        </w:rPr>
        <w:t>81</w:t>
      </w:r>
      <w:r w:rsidRPr="00696FAF">
        <w:rPr>
          <w:rFonts w:ascii="Arial" w:eastAsia="Arial" w:hAnsi="Arial" w:cs="Arial"/>
          <w:sz w:val="24"/>
          <w:szCs w:val="24"/>
        </w:rPr>
        <w:t>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46"/>
        <w:gridCol w:w="756"/>
        <w:gridCol w:w="1231"/>
        <w:gridCol w:w="1231"/>
        <w:gridCol w:w="1231"/>
        <w:gridCol w:w="1237"/>
        <w:gridCol w:w="1488"/>
      </w:tblGrid>
      <w:tr w:rsidR="005940C2" w:rsidRPr="005940C2" w:rsidTr="00CB18B0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FIELD OFFICE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STOCKPILE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TOTAL STANDBY FUNDS AND STOCKPILE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Family Food Packs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Food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Non-Food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Sub-Total</w:t>
            </w: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br/>
              <w:t>(Food and NFIs)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Total Cost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207,223,921.85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447,900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155,990,976.28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120,208,894.40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672,314,958.41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4"/>
              </w:rPr>
              <w:t>792,523,852.81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  <w:szCs w:val="24"/>
              </w:rPr>
              <w:t>1,155,738,750.94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Central Office*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165,181,069.00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165,181,069.00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NROC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77,075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27,747,000.00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36,925,252.22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254,687,765.00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291,613,017.22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319,360,017.22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NCR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2,937,750.00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19,558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5,902,028.64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817,794.60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2,430,599.75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3,248,394.35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12,088,172.99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CAR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1,922,353.00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3,188,802.92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188,215.00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15,432,353.48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15,620,568.48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20,731,724.40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3,031,900.00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10,400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3,744,000.00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3,877,584.03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21,956,891.22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25,834,475.25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32,610,375.25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2,762,375.00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36,495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12,773,250.00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3,052,800.00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3,533,649.96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6,586,449.96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22,122,074.96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3,133,400.00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11,374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4,088,522.20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373,586.30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17,072,747.10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17,446,333.40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24,668,255.60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CALABARZON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2,316,000.00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11,572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3,841,105.50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2,413,554.88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6,443,933.41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8,857,488.29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15,014,593.79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MIMAROPA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503,660.00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27,788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10,083,987.30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8,056,951.06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1,395,732.36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9,452,683.42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20,040,330.72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2,992,000.00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30,286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9,379,056.00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903,399.60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52,232,988.00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53,136,387.60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65,507,443.60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VI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4,577,250.00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13,303,645.57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8,490,644.19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21,794,289.76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29,371,539.76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lastRenderedPageBreak/>
              <w:t xml:space="preserve">VII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89,758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32,404,574.00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19,980,445.04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46,942,129.96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66,922,575.00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102,327,149.00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VIII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2,049,600.00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20,210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7,077,048.44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12,206,151.62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48,746,786.55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60,952,938.17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70,079,586.61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IX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2,873,664.85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22,361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8,049,960.00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1,141,829.35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3,315,422.67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4,457,252.02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15,380,876.87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3,140,700.00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15,919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5,236,080.00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2,145,840.00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170,250,270.06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172,396,110.06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180,772,890.06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XI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27,521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9,021,383.80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6,039,769.28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2,497,486.17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8,537,255.45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20,558,639.25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XII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13,741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4,946,760.00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3,931,315.63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4,511,351.67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8,442,667.30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16,389,427.30</w:t>
            </w:r>
          </w:p>
        </w:tc>
      </w:tr>
      <w:tr w:rsidR="005940C2" w:rsidRPr="005940C2" w:rsidTr="005940C2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 xml:space="preserve">CARAGA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2,379,450.00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3,930,167.48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4,850,760.22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12,374,206.86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17,224,967.08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color w:val="000000" w:themeColor="text1"/>
                <w:sz w:val="20"/>
                <w:szCs w:val="24"/>
              </w:rPr>
              <w:t>23,534,584.56</w:t>
            </w:r>
          </w:p>
        </w:tc>
      </w:tr>
    </w:tbl>
    <w:p w:rsidR="00B932C1" w:rsidRDefault="00B932C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F1" w:rsidRDefault="009808F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DSWD-FOs </w:t>
      </w:r>
      <w:r w:rsidR="00376584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z w:val="24"/>
          <w:szCs w:val="24"/>
        </w:rPr>
        <w:t>prepositioned FFPs in strategic locations. Breakdown per location is as follows:</w:t>
      </w:r>
    </w:p>
    <w:p w:rsidR="00490703" w:rsidRDefault="00490703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797"/>
        <w:gridCol w:w="1549"/>
      </w:tblGrid>
      <w:tr w:rsidR="005940C2" w:rsidRPr="005940C2" w:rsidTr="00A50AE2">
        <w:trPr>
          <w:trHeight w:val="20"/>
          <w:tblHeader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5940C2">
              <w:rPr>
                <w:rFonts w:ascii="Arial Narrow" w:eastAsia="Times New Roman" w:hAnsi="Arial Narrow"/>
                <w:b/>
                <w:bCs/>
              </w:rPr>
              <w:t>REGION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5940C2">
              <w:rPr>
                <w:rFonts w:ascii="Arial Narrow" w:eastAsia="Times New Roman" w:hAnsi="Arial Narrow"/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5940C2">
              <w:rPr>
                <w:rFonts w:ascii="Arial Narrow" w:eastAsia="Times New Roman" w:hAnsi="Arial Narrow"/>
                <w:b/>
                <w:bCs/>
              </w:rPr>
              <w:t>NUMBER OF FFPS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GRAND 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  <w:szCs w:val="24"/>
              </w:rPr>
              <w:t>447,900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NROC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77,075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Chapel Road, Pasay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77,075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NCR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19,558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DSWD-FO NCR, 389 San Rafael St.,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Legarda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Sampaloc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, Manila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362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4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Misamis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Ext.,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Bago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Bantay,Q.C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. (RSCC)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1,212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NCWP, Chapel Road, Pasay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1,998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NROC Chapel Road (Reserve Stock)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15,986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  <w:t>8,193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SN Oriental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Cmpd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Palmaville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Puguis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, La Trinidad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8,193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Luna,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Province of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10,400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Regional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Urayong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Bauang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, La 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7,000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3,400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Solsona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Warehouse,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Burgos Warehouse, Municipal Bldg.,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Perucho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St.,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Poblacion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Burgos,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Santa Warehouse, Santa,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Caoyan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Warehouse,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Don Lorenzo,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Ilocus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Cervantes-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Mankayan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Rd.,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Rosario, Cervantes,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Concordia,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Bolinao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Alaminos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Warehouse,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Tangcarang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Alaminos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Urbiztondo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Manaoag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Warehouse,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Maningding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Sta. Barbara,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Rosales Warehouse, Robert B. Estrella, Sr. Memorial Stadium,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Umingan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-Rosales Rd., Rosales,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Pangasinan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Vigan City Satellite Warehouse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 Nicolas,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Ilocos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36,495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Regional Government Center,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Carig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Tuguegarao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8,745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27,750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PSWDO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Aparri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Alcala,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Buguey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Gattaran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Lasam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1,200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Gonzaga,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Camalaniugan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Sta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Ana,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Abulug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Allacapan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Calayan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Pamplona,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Piat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Sto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Niño,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Amulung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Enrile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Iguig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Peñablanca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Solana,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Tuao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Tuguegarao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City, Cagayan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1,100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PSWDO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Cabagan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Cordon,Isabela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Divilacan,Isabela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Maconacon,Isabela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Palanan,Isabela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600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Santa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Maria,Isabela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Benito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Soliven,Isabela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Roxas,Isabela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San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Manuel,Isabela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Gamu,Isabela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Alicia,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Cabatuan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Luna,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Reina Mercedes,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San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Mateo,Isabela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Cauayan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City,Isabela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Dinapigue,Isabela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900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Santiago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City,Isabela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San Agustin, Isabela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PSWDO QUIRINO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Aglipay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250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Cabarroguis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Saguday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Diffun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Maddela,Quirino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Nagtipunan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PSWDO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Ambaguio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Aritao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Bagabag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Bambang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Bayombong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Diadi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Sta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Fe,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Villaverde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Kayapa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Alfonso Castaneda,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400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Dupax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del Norte,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Dupax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 xml:space="preserve"> del Sur,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Quezon, Nueva Vizcaya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4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  <w:t>11,374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DSWD Regional Warehouse, JASA, Dolores, City of San Fernando, Pampanga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5,874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5,500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DPEO, </w:t>
            </w:r>
            <w:proofErr w:type="gram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Aurora(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Sitio</w:t>
            </w:r>
            <w:proofErr w:type="spellEnd"/>
            <w:proofErr w:type="gram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Hiwalayan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Bacong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San Luis,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Evacuation Center,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Suklayin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Baler, 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Municipality of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Dilasag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Municipality of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Casiguran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Pulilan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Bulacan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 Jose,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Plaridel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Bulacan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Evacuation Center,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Moncada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Tarlac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DPEO, PSWDO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Cmpd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Palanginan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Iba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Zambales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DPEO,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Olongapo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CALABARZON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11,572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Gregoria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de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Jesus,San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Jose, G.M.A, Cavite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10,052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1,520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PSWDO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Lucena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City, Quezon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Munipal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Office, Quezon, Quezon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MSWDO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Burdeous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Quezon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MSWDO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Alabat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Quezon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640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MSWDO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Jomalig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Quezon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880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PDRRMO,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. G. De Leon, Sta. Cruz, Laguna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MIMAROPA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  <w:t>27,788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1680 F. Benitez cor.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Malvar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Sts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., Malate, Metro Manila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3,000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24,788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M.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Roxas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Drive,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Salong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Calapan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 (SWADT Oriental Mindoro)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3,333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JRB Building, San Jose, Occidental Mindoro (SWADT Occ. Mindoro)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5,200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Bangbangalon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Boac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Marinduque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(SWADT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Marinduque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1,586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052 Gen. Luna St.,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Liwayway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Odiongan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Romblon (SWADT Romblon)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5,511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Cor.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Malvar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and Sandoval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Sts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., Puerto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Princesa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 (SWADT Palawan)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9,158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30,286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Bogtong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Legazpi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22,986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7,300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LGU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Baao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Camarines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Lagonoy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Camarines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Canaman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Camarines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 xml:space="preserve">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LGU San Vicente,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Camarines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Pilar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Sorsogon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 xml:space="preserve">PLGU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2,800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Virac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Catanduanes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12,750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Juantong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Warehouse, Bodega 8,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Juantong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Bldg., Rizal St., Iloilo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11,750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LGU Malay,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Aklan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SWAD Antique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SWAD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Capiz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SWAD Negros Occidental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89,758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VDRC, P.C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Suico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St.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Tingub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Mandaue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47,098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Labangon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Cebu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11,532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Bodega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Polinitas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C.P.G. East Ave.,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Tagbilaran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12,430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DC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Tabuk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Tubig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Dumaguete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11,541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SWAD Office,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Siquijor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141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7,016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Buenavista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Carlos P. Garcia,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Candijay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Duero,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Getafe,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SierraBullones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Sevilla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Bohol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Dumanjug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1,997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Madridejos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Pilar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Poro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Ronda,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Fracisco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Tabongon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Toledo, Cebu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564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Bayawan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Canlaon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Guihulngan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Mabinay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Tanjay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City, Negros,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455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Vallehermoso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Negros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20,210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91,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Abucay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Tacloban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11,510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Allen, Northern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PDRRMO (UEP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Catarman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  <w:r w:rsidRPr="005940C2">
              <w:rPr>
                <w:rFonts w:eastAsia="Times New Roman"/>
                <w:color w:val="auto"/>
                <w:sz w:val="20"/>
              </w:rPr>
              <w:t>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8,700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Dulag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Hilongos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San Isidro, Leyte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Jipapad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Eastern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Almagro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Calbiga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Daram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Hinabangan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Matuguinao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Motiong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Sta. Margarita,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San Sebastian,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 Jose de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Buan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Western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Catbalogan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, 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Culaba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Biliran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500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22,361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Rojo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Warehouse. No. 59, Santa Catalina, Zamboanga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20,152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2,209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SWADT, Ipil Heights, Ipil, Zamboanga Sibugay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873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SWADT,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Liloy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, Zamboanga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838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SWADT-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Dipolog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DSWDBldg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Dipolog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254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SWADT-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Pagadian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DSWD Bldg.,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Pagadian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244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15,919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Corrales Ext.,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Puntod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>, Cagayan de Oro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RCP Warehouse,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Dalipuga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Iligan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15,919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27,521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Purok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7, BPI Compound,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Oshiro,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Tugbok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District, Davao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20,010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7,511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Provincial Coliseum,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Mati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Digos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 Davao Del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color w:val="auto"/>
                <w:sz w:val="20"/>
              </w:rPr>
              <w:t>2,000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Provincial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Capitol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Cabidianan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Nabunturan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Compostela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1,780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PDRRMO Compound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Dahican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Mati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 Davao Oriental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2,000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PSWDO, Provincial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Capitol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Cmpd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.,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Tagum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City, Davao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color w:val="auto"/>
                <w:sz w:val="20"/>
              </w:rPr>
              <w:t>1,731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XII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13,741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Arellano St.,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Brgy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. Zone III,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Koronadal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City, South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Cotabato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13,741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CARAGA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5940C2">
              <w:rPr>
                <w:rFonts w:ascii="Arial Narrow" w:eastAsia="Times New Roman" w:hAnsi="Arial Narrow"/>
                <w:b/>
                <w:bCs/>
                <w:sz w:val="20"/>
              </w:rPr>
              <w:t>12,899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 xml:space="preserve">DSWD Regional Warehouse, DPWH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Tiniwisan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Butuan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City, </w:t>
            </w:r>
            <w:proofErr w:type="spellStart"/>
            <w:r w:rsidRPr="005940C2">
              <w:rPr>
                <w:rFonts w:ascii="Arial Narrow" w:eastAsia="Times New Roman" w:hAnsi="Arial Narrow"/>
                <w:sz w:val="20"/>
              </w:rPr>
              <w:t>Agusan</w:t>
            </w:r>
            <w:proofErr w:type="spellEnd"/>
            <w:r w:rsidRPr="005940C2">
              <w:rPr>
                <w:rFonts w:ascii="Arial Narrow" w:eastAsia="Times New Roman" w:hAnsi="Arial Narrow"/>
                <w:sz w:val="20"/>
              </w:rPr>
              <w:t xml:space="preserve">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7,253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Prepositioned Relief Goods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  <w:r w:rsidRPr="005940C2">
              <w:rPr>
                <w:rFonts w:ascii="Arial Narrow" w:eastAsia="Times New Roman" w:hAnsi="Arial Narrow"/>
                <w:sz w:val="20"/>
              </w:rPr>
              <w:t>5,646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2,219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Patin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-ay,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Agusan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1,800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Sta. Monica,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Pilar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423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Burgos,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289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Socorro,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298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Placer (MSU Food Hub)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Tandag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City,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Surigao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Del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San Jose,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Dinagat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300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Libjo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Dinagat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162</w:t>
            </w:r>
          </w:p>
        </w:tc>
      </w:tr>
      <w:tr w:rsidR="005940C2" w:rsidRPr="005940C2" w:rsidTr="00A50AE2">
        <w:trPr>
          <w:trHeight w:val="20"/>
        </w:trPr>
        <w:tc>
          <w:tcPr>
            <w:tcW w:w="1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Loreto, </w:t>
            </w:r>
            <w:proofErr w:type="spellStart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Dinagat</w:t>
            </w:r>
            <w:proofErr w:type="spellEnd"/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40C2" w:rsidRPr="005940C2" w:rsidRDefault="005940C2" w:rsidP="005940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5940C2">
              <w:rPr>
                <w:rFonts w:ascii="Arial Narrow" w:eastAsia="Times New Roman" w:hAnsi="Arial Narrow"/>
                <w:i/>
                <w:iCs/>
                <w:sz w:val="20"/>
              </w:rPr>
              <w:t>155</w:t>
            </w:r>
          </w:p>
        </w:tc>
      </w:tr>
    </w:tbl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871FE" w:rsidRDefault="00A81C78" w:rsidP="00B932C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8" w:name="_Situational_Report_1"/>
      <w:bookmarkEnd w:id="8"/>
      <w:r w:rsidRPr="003871F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>
        <w:rPr>
          <w:rFonts w:ascii="Arial" w:hAnsi="Arial" w:cs="Arial"/>
          <w:color w:val="002060"/>
          <w:sz w:val="28"/>
          <w:szCs w:val="24"/>
        </w:rPr>
        <w:t>s</w:t>
      </w:r>
    </w:p>
    <w:p w:rsidR="00376584" w:rsidRDefault="00376584" w:rsidP="00B932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Default="00F34EA4" w:rsidP="00B932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</w:t>
      </w:r>
      <w:r w:rsidR="00376584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76584" w:rsidTr="00696FAF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376584" w:rsidRPr="00A440A6" w:rsidTr="00696FAF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C43BDA" w:rsidP="00C43B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</w:t>
            </w:r>
            <w:r w:rsidR="00FC192D" w:rsidRPr="00FC19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43BDA" w:rsidRDefault="00C43BDA" w:rsidP="00C43B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The Disaster Response Operations Monitoring and Information Center (DROMIC) of the </w:t>
            </w:r>
            <w:r>
              <w:rPr>
                <w:rFonts w:ascii="Arial" w:eastAsia="Arial" w:hAnsi="Arial" w:cs="Arial"/>
                <w:sz w:val="20"/>
                <w:szCs w:val="20"/>
              </w:rPr>
              <w:t>DSWD-DR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sz w:val="20"/>
                <w:szCs w:val="20"/>
              </w:rPr>
              <w:t>is on 24/7 duty to continuously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 coordinate with the concerned DSWD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Field Offices for significant disaster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preparedness for 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C43B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A81C78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DA0433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June 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Ilocos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Region is generally experiencing isolated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rainshowers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74E8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DRMD staff members of the FO are closely monitoring the possible effect of the LPA.</w:t>
            </w:r>
          </w:p>
          <w:p w:rsidR="00174E88" w:rsidRPr="00DA0433" w:rsidRDefault="00C43BDA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Quick Action Response Teams (QUARTS) of the FO and the Provincial Operations Offices are currently monitoring the weather and performing pre-disaster activities in coordination with the OCD – Region I and the different 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P/M/CDRRMCs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Pr="00FC6E01" w:rsidRDefault="00A81C78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A81C78" w:rsidRPr="00FC6E01" w:rsidRDefault="00A81C78" w:rsidP="00B932C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E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DA043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DA0433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ctivated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Center to monitor daily local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lerted all P/C/M Quick Response Tea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 in the five (5) provinces of the region to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regularly monitor the situations in their areas.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members of R/P/C/M QRTs are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on-call status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on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standby to be 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duty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ready for deployment if needed.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dvised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P/MQRTs to coordinate with concerned LGUs to report any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unusual eventualities in their respective areas and take appropriate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FO’s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and Communication Technology Management Unit (ICTMU) 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activated to ensure robust communication system.</w:t>
            </w:r>
          </w:p>
          <w:p w:rsidR="00DA0433" w:rsidRP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 e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nsured that there is 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available truck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deliver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goods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areas that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might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affected.</w:t>
            </w:r>
          </w:p>
        </w:tc>
      </w:tr>
    </w:tbl>
    <w:p w:rsidR="00AF2F53" w:rsidRPr="00FC6E01" w:rsidRDefault="00AF2F53" w:rsidP="00AF2F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E01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FO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F2F53" w:rsidRPr="00FC6E01" w:rsidTr="00CD44B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76584" w:rsidRDefault="00AF2F53" w:rsidP="00CD44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376584" w:rsidRDefault="00AF2F53" w:rsidP="00CD44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AF2F53" w:rsidRPr="00FC6E01" w:rsidTr="00CD44B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AF2F53" w:rsidRDefault="00AF2F53" w:rsidP="00AF2F5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 xml:space="preserve">June </w:t>
            </w: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53" w:rsidRPr="00AF2F53" w:rsidRDefault="00AF2F53" w:rsidP="00AF2F5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1"/>
              </w:tabs>
              <w:spacing w:after="0" w:line="240" w:lineRule="auto"/>
              <w:ind w:left="361" w:hanging="36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>PAT and MAT members are on standby and were instructed to coordinate with the P/MDRRMOs</w:t>
            </w: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F2F53">
              <w:rPr>
                <w:rFonts w:ascii="Arial" w:hAnsi="Arial" w:cs="Arial"/>
                <w:color w:val="0070C0"/>
                <w:sz w:val="20"/>
                <w:szCs w:val="20"/>
              </w:rPr>
              <w:t>for status reports and updates.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VI</w:t>
      </w:r>
      <w:r w:rsidR="00DA043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DA0433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members from the field were alerted on the latest weather information </w:t>
            </w:r>
            <w:r w:rsidR="00F34EA4">
              <w:rPr>
                <w:rFonts w:ascii="Arial" w:hAnsi="Arial" w:cs="Arial"/>
                <w:color w:val="000000" w:themeColor="text1"/>
                <w:sz w:val="20"/>
                <w:szCs w:val="20"/>
              </w:rPr>
              <w:t>and were requested to monitor areas of responsibility and provide updates for any incidents related to the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VII QRT is currently on standby for any assistance and augmentation that may be needed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F34EA4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F34EA4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SWAD Teams,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and advised to closely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oordinate with P/C/MSWDOs and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P/C/MRRDMOs.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, all QRT members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in case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LPA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elevate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Tropical Depression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Storm for them to prepare for 24/7 duty.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FO’s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DRIMS is closely monitoring weather bulletins to ensure readiness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any eventualities that may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arise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due to the present weather disturbance.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DRMD staffs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 likewise alerted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 manning the warehouse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also alerted to ensure the readiness of dispatching the food and non-food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whenever needed.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F34EA4" w:rsidRPr="00FC6E01" w:rsidTr="00A81C78">
        <w:trPr>
          <w:trHeight w:val="420"/>
        </w:trPr>
        <w:tc>
          <w:tcPr>
            <w:tcW w:w="934" w:type="pct"/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vAlign w:val="center"/>
          </w:tcPr>
          <w:p w:rsidR="00F34EA4" w:rsidRPr="0037658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6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QRT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members </w:t>
            </w: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on standby for possible deployment.</w:t>
            </w:r>
          </w:p>
        </w:tc>
      </w:tr>
    </w:tbl>
    <w:p w:rsidR="003B46D8" w:rsidRDefault="003B46D8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F34EA4" w:rsidRP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B10486" w:rsidRDefault="00B10486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***********</w:t>
      </w:r>
    </w:p>
    <w:p w:rsid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:rsidR="00155355" w:rsidRDefault="003D09A9" w:rsidP="00B932C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continues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concerned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F34EA4">
        <w:rPr>
          <w:rFonts w:ascii="Arial" w:eastAsia="Arial" w:hAnsi="Arial" w:cs="Arial"/>
          <w:i/>
          <w:sz w:val="20"/>
          <w:szCs w:val="20"/>
        </w:rPr>
        <w:t>-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Field Offices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preparedness for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updates.</w:t>
      </w:r>
    </w:p>
    <w:p w:rsidR="00155355" w:rsidRDefault="00155355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Pr="00E32DE0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Default="000F1F6C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0F1F6C" w:rsidRDefault="005940C2" w:rsidP="00B932C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EUGENE ALLAN H. LANUZA</w:t>
      </w:r>
    </w:p>
    <w:p w:rsidR="00B10486" w:rsidRDefault="003D09A9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B10486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03" w:rsidRDefault="00213A03">
      <w:pPr>
        <w:spacing w:after="0" w:line="240" w:lineRule="auto"/>
      </w:pPr>
      <w:r>
        <w:separator/>
      </w:r>
    </w:p>
  </w:endnote>
  <w:endnote w:type="continuationSeparator" w:id="0">
    <w:p w:rsidR="00213A03" w:rsidRDefault="002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C2" w:rsidRDefault="005940C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5940C2" w:rsidRDefault="005940C2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B18B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B18B0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>DSWD DROMIC Prep</w:t>
    </w:r>
    <w:r>
      <w:rPr>
        <w:rFonts w:ascii="Arial" w:eastAsia="Arial" w:hAnsi="Arial" w:cs="Arial"/>
        <w:sz w:val="16"/>
        <w:szCs w:val="16"/>
      </w:rPr>
      <w:t xml:space="preserve">aredness for Response Report #2 </w:t>
    </w:r>
    <w:r w:rsidRPr="00F34EA4">
      <w:rPr>
        <w:rFonts w:ascii="Arial" w:eastAsia="Arial" w:hAnsi="Arial" w:cs="Arial"/>
        <w:sz w:val="16"/>
        <w:szCs w:val="16"/>
      </w:rPr>
      <w:t>on the</w:t>
    </w:r>
    <w:r>
      <w:rPr>
        <w:rFonts w:ascii="Arial" w:eastAsia="Arial" w:hAnsi="Arial" w:cs="Arial"/>
        <w:sz w:val="16"/>
        <w:szCs w:val="16"/>
      </w:rPr>
      <w:t xml:space="preserve"> Low Pressure Areas [June 2018] </w:t>
    </w:r>
    <w:r w:rsidRPr="00F34EA4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5</w:t>
    </w:r>
    <w:r w:rsidRPr="00F34EA4">
      <w:rPr>
        <w:rFonts w:ascii="Arial" w:eastAsia="Arial" w:hAnsi="Arial" w:cs="Arial"/>
        <w:sz w:val="16"/>
        <w:szCs w:val="16"/>
      </w:rPr>
      <w:t xml:space="preserve"> June 2018, </w:t>
    </w:r>
    <w:r>
      <w:rPr>
        <w:rFonts w:ascii="Arial" w:eastAsia="Arial" w:hAnsi="Arial" w:cs="Arial"/>
        <w:sz w:val="16"/>
        <w:szCs w:val="16"/>
      </w:rPr>
      <w:t>8</w:t>
    </w:r>
    <w:r w:rsidRPr="00F34EA4">
      <w:rPr>
        <w:rFonts w:ascii="Arial" w:eastAsia="Arial" w:hAnsi="Arial" w:cs="Arial"/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03" w:rsidRDefault="00213A03">
      <w:pPr>
        <w:spacing w:after="0" w:line="240" w:lineRule="auto"/>
      </w:pPr>
      <w:r>
        <w:separator/>
      </w:r>
    </w:p>
  </w:footnote>
  <w:footnote w:type="continuationSeparator" w:id="0">
    <w:p w:rsidR="00213A03" w:rsidRDefault="0021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C2" w:rsidRDefault="005940C2" w:rsidP="00A81C7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ECF0A" wp14:editId="0DF9AA12">
          <wp:simplePos x="0" y="0"/>
          <wp:positionH relativeFrom="margin">
            <wp:posOffset>-91440</wp:posOffset>
          </wp:positionH>
          <wp:positionV relativeFrom="paragraph">
            <wp:posOffset>132080</wp:posOffset>
          </wp:positionV>
          <wp:extent cx="2225040" cy="668655"/>
          <wp:effectExtent l="0" t="0" r="381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90"/>
                  <a:stretch/>
                </pic:blipFill>
                <pic:spPr bwMode="auto">
                  <a:xfrm>
                    <a:off x="0" y="0"/>
                    <a:ext cx="222504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16850" cy="7848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181685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0C2" w:rsidRDefault="005940C2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5940C2" w:rsidRDefault="005940C2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5940C2" w:rsidRDefault="005940C2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5940C2" w:rsidRDefault="005940C2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5940C2" w:rsidRPr="00BE1AB9" w:rsidRDefault="005940C2" w:rsidP="00BE1AB9">
    <w:pPr>
      <w:pBdr>
        <w:bottom w:val="single" w:sz="6" w:space="0" w:color="000000"/>
      </w:pBdr>
      <w:tabs>
        <w:tab w:val="center" w:pos="4680"/>
        <w:tab w:val="right" w:pos="9360"/>
      </w:tabs>
      <w:spacing w:after="0" w:line="240" w:lineRule="auto"/>
      <w:rPr>
        <w:sz w:val="4"/>
      </w:rPr>
    </w:pPr>
  </w:p>
  <w:p w:rsidR="005940C2" w:rsidRDefault="005940C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F10AC"/>
    <w:rsid w:val="000F1F6C"/>
    <w:rsid w:val="000F3578"/>
    <w:rsid w:val="00122989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D01A8"/>
    <w:rsid w:val="001E26B4"/>
    <w:rsid w:val="00213A03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F5"/>
    <w:rsid w:val="00280BEA"/>
    <w:rsid w:val="00284FBC"/>
    <w:rsid w:val="00287526"/>
    <w:rsid w:val="00292871"/>
    <w:rsid w:val="00293BBD"/>
    <w:rsid w:val="00294E5E"/>
    <w:rsid w:val="002D3418"/>
    <w:rsid w:val="002F5178"/>
    <w:rsid w:val="002F713F"/>
    <w:rsid w:val="00305764"/>
    <w:rsid w:val="003277B9"/>
    <w:rsid w:val="00331650"/>
    <w:rsid w:val="00341112"/>
    <w:rsid w:val="003478E6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7043"/>
    <w:rsid w:val="0045417C"/>
    <w:rsid w:val="00456B0E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5073A3"/>
    <w:rsid w:val="005101BD"/>
    <w:rsid w:val="0051518E"/>
    <w:rsid w:val="00543A35"/>
    <w:rsid w:val="00544DE0"/>
    <w:rsid w:val="00546DEE"/>
    <w:rsid w:val="00557D52"/>
    <w:rsid w:val="0056425D"/>
    <w:rsid w:val="00580432"/>
    <w:rsid w:val="005940C2"/>
    <w:rsid w:val="0059459E"/>
    <w:rsid w:val="00594DB7"/>
    <w:rsid w:val="005A4EFD"/>
    <w:rsid w:val="005C25C9"/>
    <w:rsid w:val="00606AB1"/>
    <w:rsid w:val="00611D34"/>
    <w:rsid w:val="006348B0"/>
    <w:rsid w:val="00636A32"/>
    <w:rsid w:val="00637CFE"/>
    <w:rsid w:val="00646FEA"/>
    <w:rsid w:val="006552C0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6AC7"/>
    <w:rsid w:val="00701F97"/>
    <w:rsid w:val="007029A9"/>
    <w:rsid w:val="00703E20"/>
    <w:rsid w:val="00724F05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244C0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F53"/>
    <w:rsid w:val="00B0423A"/>
    <w:rsid w:val="00B10486"/>
    <w:rsid w:val="00B1591C"/>
    <w:rsid w:val="00B17164"/>
    <w:rsid w:val="00B238F1"/>
    <w:rsid w:val="00B27212"/>
    <w:rsid w:val="00B34D3A"/>
    <w:rsid w:val="00B35A11"/>
    <w:rsid w:val="00B571E4"/>
    <w:rsid w:val="00B62D76"/>
    <w:rsid w:val="00B70A42"/>
    <w:rsid w:val="00B77009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8B0"/>
    <w:rsid w:val="00CB1BC9"/>
    <w:rsid w:val="00CB22FC"/>
    <w:rsid w:val="00CD2EC0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93477"/>
    <w:rsid w:val="00DA0433"/>
    <w:rsid w:val="00DA1FDD"/>
    <w:rsid w:val="00DA4074"/>
    <w:rsid w:val="00DC0B44"/>
    <w:rsid w:val="00DC45D6"/>
    <w:rsid w:val="00DE2C1A"/>
    <w:rsid w:val="00DE3688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C48B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Eugene Allan Lanuza</cp:lastModifiedBy>
  <cp:revision>6</cp:revision>
  <dcterms:created xsi:type="dcterms:W3CDTF">2018-06-03T01:00:00Z</dcterms:created>
  <dcterms:modified xsi:type="dcterms:W3CDTF">2018-06-05T00:23:00Z</dcterms:modified>
</cp:coreProperties>
</file>