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565F0560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6C4C5C">
        <w:rPr>
          <w:rFonts w:ascii="Arial" w:eastAsia="Arial" w:hAnsi="Arial" w:cs="Arial"/>
          <w:b/>
          <w:sz w:val="32"/>
          <w:szCs w:val="24"/>
        </w:rPr>
        <w:t>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141B5B3A" w:rsidR="00B75DA9" w:rsidRDefault="006C4C5C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r w:rsidR="00953F1E">
        <w:rPr>
          <w:rFonts w:ascii="Arial" w:eastAsia="Arial" w:hAnsi="Arial" w:cs="Arial"/>
          <w:b/>
          <w:sz w:val="32"/>
          <w:szCs w:val="24"/>
        </w:rPr>
        <w:t>Labuan</w:t>
      </w:r>
      <w:r>
        <w:rPr>
          <w:rFonts w:ascii="Arial" w:eastAsia="Arial" w:hAnsi="Arial" w:cs="Arial"/>
          <w:b/>
          <w:sz w:val="32"/>
          <w:szCs w:val="24"/>
        </w:rPr>
        <w:t>,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B35DA">
        <w:rPr>
          <w:rFonts w:ascii="Arial" w:eastAsia="Arial" w:hAnsi="Arial" w:cs="Arial"/>
          <w:b/>
          <w:sz w:val="32"/>
          <w:szCs w:val="24"/>
        </w:rPr>
        <w:t>Zamboanga</w:t>
      </w:r>
      <w:proofErr w:type="spellEnd"/>
      <w:r w:rsidR="00CB35DA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797ACCF1" w14:textId="460E7E9F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953F1E">
        <w:rPr>
          <w:rFonts w:ascii="Arial" w:eastAsia="Arial" w:hAnsi="Arial" w:cs="Arial"/>
          <w:sz w:val="24"/>
          <w:szCs w:val="24"/>
        </w:rPr>
        <w:t>24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953F1E">
        <w:rPr>
          <w:rFonts w:ascii="Arial" w:eastAsia="Arial" w:hAnsi="Arial" w:cs="Arial"/>
          <w:sz w:val="24"/>
          <w:szCs w:val="24"/>
        </w:rPr>
        <w:t>9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7C1D27A0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953F1E">
        <w:rPr>
          <w:rFonts w:ascii="Arial" w:eastAsia="Arial" w:hAnsi="Arial" w:cs="Arial"/>
          <w:sz w:val="24"/>
          <w:szCs w:val="24"/>
        </w:rPr>
        <w:t>2</w:t>
      </w:r>
      <w:r w:rsidR="009178EA">
        <w:rPr>
          <w:rFonts w:ascii="Arial" w:eastAsia="Arial" w:hAnsi="Arial" w:cs="Arial"/>
          <w:sz w:val="24"/>
          <w:szCs w:val="24"/>
        </w:rPr>
        <w:t>2</w:t>
      </w:r>
      <w:r w:rsidR="00186433">
        <w:rPr>
          <w:rFonts w:ascii="Arial" w:eastAsia="Arial" w:hAnsi="Arial" w:cs="Arial"/>
          <w:sz w:val="24"/>
          <w:szCs w:val="24"/>
        </w:rPr>
        <w:t xml:space="preserve"> July</w:t>
      </w:r>
      <w:r w:rsidR="00953F1E">
        <w:rPr>
          <w:rFonts w:ascii="Arial" w:eastAsia="Arial" w:hAnsi="Arial" w:cs="Arial"/>
          <w:sz w:val="24"/>
          <w:szCs w:val="24"/>
        </w:rPr>
        <w:t xml:space="preserve"> 2018,</w:t>
      </w:r>
      <w:r w:rsidRPr="00AC4062">
        <w:rPr>
          <w:rFonts w:ascii="Arial" w:eastAsia="Arial" w:hAnsi="Arial" w:cs="Arial"/>
          <w:sz w:val="24"/>
          <w:szCs w:val="24"/>
        </w:rPr>
        <w:t xml:space="preserve"> </w:t>
      </w:r>
      <w:r w:rsidR="00953F1E">
        <w:rPr>
          <w:rFonts w:ascii="Arial" w:eastAsia="Arial" w:hAnsi="Arial" w:cs="Arial"/>
          <w:sz w:val="24"/>
          <w:szCs w:val="24"/>
        </w:rPr>
        <w:t xml:space="preserve">at around 12:00 in the afternoon </w:t>
      </w:r>
      <w:r w:rsidRPr="00AC4062">
        <w:rPr>
          <w:rFonts w:ascii="Arial" w:eastAsia="Arial" w:hAnsi="Arial" w:cs="Arial"/>
          <w:sz w:val="24"/>
          <w:szCs w:val="24"/>
        </w:rPr>
        <w:t xml:space="preserve">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953F1E">
        <w:rPr>
          <w:rFonts w:ascii="Arial" w:eastAsia="Arial" w:hAnsi="Arial" w:cs="Arial"/>
          <w:sz w:val="24"/>
          <w:szCs w:val="24"/>
        </w:rPr>
        <w:t>Labuan</w:t>
      </w:r>
      <w:r w:rsidR="00CB35DA">
        <w:rPr>
          <w:rFonts w:ascii="Arial" w:eastAsia="Arial" w:hAnsi="Arial" w:cs="Arial"/>
          <w:sz w:val="24"/>
          <w:szCs w:val="24"/>
        </w:rPr>
        <w:t>, Zamboanga City</w:t>
      </w:r>
      <w:r w:rsidR="00972279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3A08E3" w14:textId="77777777" w:rsidR="00953F1E" w:rsidRPr="00AC4062" w:rsidRDefault="00953F1E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61FEDBE3" w:rsidR="00B75DA9" w:rsidRPr="00AC4062" w:rsidRDefault="00953F1E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403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1,987</w:t>
      </w:r>
      <w:r w:rsidR="00C30EEF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47A5" w:rsidRPr="001F099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4347A5" w:rsidRPr="001F0992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Labuan</w:t>
      </w:r>
      <w:r w:rsidR="00CB35DA" w:rsidRPr="00CB35DA">
        <w:rPr>
          <w:rFonts w:ascii="Arial" w:eastAsia="Arial" w:hAnsi="Arial" w:cs="Arial"/>
          <w:sz w:val="24"/>
          <w:szCs w:val="24"/>
        </w:rPr>
        <w:t xml:space="preserve">, Zamboanga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1"/>
        <w:gridCol w:w="4785"/>
        <w:gridCol w:w="1481"/>
        <w:gridCol w:w="1244"/>
        <w:gridCol w:w="1240"/>
      </w:tblGrid>
      <w:tr w:rsidR="00CB35DA" w:rsidRPr="00CB35DA" w14:paraId="03593AE2" w14:textId="77777777" w:rsidTr="00CB35DA">
        <w:trPr>
          <w:trHeight w:val="230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9CAA40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C175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B35DA" w:rsidRPr="00CB35DA" w14:paraId="0EF0FEF3" w14:textId="77777777" w:rsidTr="00CB35DA">
        <w:trPr>
          <w:trHeight w:val="509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9964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480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F6E26C0" w14:textId="77777777" w:rsidTr="00CB35DA">
        <w:trPr>
          <w:trHeight w:val="509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71EA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2BFC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7C89BF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BD2CD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5133F7F2" w14:textId="77777777" w:rsidTr="00CB35DA">
        <w:trPr>
          <w:trHeight w:val="509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43C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13B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4472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867C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35DA" w:rsidRPr="00CB35DA" w14:paraId="16F50C49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B3E5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375CE" w14:textId="7354DF1D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B56C0" w14:textId="6E907017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403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BC158" w14:textId="45482B15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1,987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35DA" w:rsidRPr="00CB35DA" w14:paraId="791A61D5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512A7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>REGION IX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96B1B" w14:textId="1717CF1A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ECDDC" w14:textId="32BD2065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403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C7613" w14:textId="4B27A972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1,987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B35DA" w:rsidRPr="00CB35DA" w14:paraId="712D86C7" w14:textId="77777777" w:rsidTr="00CB35DA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2BA9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964A" w14:textId="0ECA6D54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54896" w14:textId="59528E68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403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E62B6" w14:textId="1BC88527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1,987</w:t>
            </w:r>
            <w:r w:rsidR="00CB35DA" w:rsidRPr="00CB3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35DA" w:rsidRPr="00CB35DA" w14:paraId="4E7C2E29" w14:textId="77777777" w:rsidTr="00CB35DA">
        <w:trPr>
          <w:trHeight w:val="2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87601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02EB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C345" w14:textId="37916217" w:rsidR="00CB35DA" w:rsidRPr="00CB35DA" w:rsidRDefault="00CB35DA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600" w14:textId="7AF3425E" w:rsidR="00CB35DA" w:rsidRPr="00CB35DA" w:rsidRDefault="00CB35DA" w:rsidP="00953F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53F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403</w:t>
            </w:r>
            <w:r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1FDE" w14:textId="6167CD8E" w:rsidR="00CB35DA" w:rsidRPr="00CB35DA" w:rsidRDefault="00953F1E" w:rsidP="00CB35D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1,987</w:t>
            </w:r>
            <w:r w:rsidR="00CB35DA" w:rsidRPr="00CB35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434BB1D5" w:rsidR="000F4719" w:rsidRPr="00445D5F" w:rsidRDefault="00953F1E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403</w:t>
      </w:r>
      <w:r w:rsidR="00D6162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1,987</w:t>
      </w:r>
      <w:r w:rsidR="00BC57D7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CB35DA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1F099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CB35D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47A5" w:rsidRPr="00F437D4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evacuation center</w:t>
      </w:r>
      <w:r w:rsidR="001F0992" w:rsidRPr="00445D5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61622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720"/>
        <w:gridCol w:w="3414"/>
        <w:gridCol w:w="753"/>
        <w:gridCol w:w="789"/>
        <w:gridCol w:w="881"/>
        <w:gridCol w:w="885"/>
        <w:gridCol w:w="881"/>
        <w:gridCol w:w="878"/>
      </w:tblGrid>
      <w:tr w:rsidR="00CB35DA" w:rsidRPr="00CB35DA" w14:paraId="45E59E91" w14:textId="77777777" w:rsidTr="00953F1E">
        <w:trPr>
          <w:trHeight w:val="20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5B677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F5E97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A6C32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CB35DA" w:rsidRPr="00CB35DA" w14:paraId="4E85298B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09C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D13E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1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5143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B35DA" w:rsidRPr="00CB35DA" w14:paraId="74F2E746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FBD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2220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3DEA5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1428D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35DA" w:rsidRPr="00CB35DA" w14:paraId="1CD267BD" w14:textId="77777777" w:rsidTr="00953F1E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5048" w14:textId="77777777" w:rsidR="00CB35DA" w:rsidRPr="00CB35DA" w:rsidRDefault="00CB35DA" w:rsidP="00CB35D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D7AAB4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BC9F58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9D8CC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3EDE2E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E5CE9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9F1416" w14:textId="77777777" w:rsidR="00CB35DA" w:rsidRPr="00CB35DA" w:rsidRDefault="00CB35DA" w:rsidP="00CB35D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3F1E" w:rsidRPr="00CB35DA" w14:paraId="2F58A8CD" w14:textId="77777777" w:rsidTr="00EC5DF2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6B04D" w14:textId="77777777" w:rsidR="00953F1E" w:rsidRPr="00CB35DA" w:rsidRDefault="00953F1E" w:rsidP="00953F1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65BFB" w14:textId="6764B8C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937623" w14:textId="530F9DBF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280146" w14:textId="5086347D" w:rsidR="00953F1E" w:rsidRPr="00CB35DA" w:rsidRDefault="009907E2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4C584EB" w14:textId="3F08E294" w:rsidR="00953F1E" w:rsidRPr="00CB35DA" w:rsidRDefault="009907E2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DE79" w14:textId="49FBF80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5CB9D27" w14:textId="19FF3EFB" w:rsidR="00953F1E" w:rsidRPr="00CB35DA" w:rsidRDefault="00953F1E" w:rsidP="00953F1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9907E2" w:rsidRPr="00CB35DA" w14:paraId="44F2759F" w14:textId="77777777" w:rsidTr="006C0666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8CD2" w14:textId="77777777" w:rsidR="009907E2" w:rsidRPr="00CB35DA" w:rsidRDefault="009907E2" w:rsidP="009907E2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75803" w14:textId="77BF159E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85185" w14:textId="3DC68396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C1A68" w14:textId="6147AA2D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CADDF60" w14:textId="7E4B7E46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55F2650" w14:textId="1EA9A429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E4DACFF" w14:textId="130A4595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9907E2" w:rsidRPr="00CB35DA" w14:paraId="06D844D1" w14:textId="77777777" w:rsidTr="006C0666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3D70" w14:textId="77777777" w:rsidR="009907E2" w:rsidRPr="00CB35DA" w:rsidRDefault="009907E2" w:rsidP="009907E2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C202" w14:textId="4927E9B1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BBC24" w14:textId="37B8ADA0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7CC1" w14:textId="53515496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427E37D" w14:textId="56A7EDAA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94EF10E" w14:textId="6CB06E81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300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48253DE" w14:textId="2FC8A2E0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E37E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1,987</w:t>
            </w:r>
          </w:p>
        </w:tc>
      </w:tr>
      <w:tr w:rsidR="009907E2" w:rsidRPr="00CB35DA" w14:paraId="0530ACD4" w14:textId="77777777" w:rsidTr="00EC264A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4BF3F" w14:textId="77777777" w:rsidR="009907E2" w:rsidRPr="00CB35DA" w:rsidRDefault="009907E2" w:rsidP="009907E2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C01" w14:textId="77777777" w:rsidR="009907E2" w:rsidRPr="00CB35DA" w:rsidRDefault="009907E2" w:rsidP="009907E2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D37" w14:textId="03DD4B7C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C26E" w14:textId="06047815" w:rsidR="009907E2" w:rsidRPr="00CB35DA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B35D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BB7" w14:textId="61DB3FF2" w:rsidR="009907E2" w:rsidRPr="009907E2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907E2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5FCD" w14:textId="7DA8733C" w:rsidR="009907E2" w:rsidRPr="009907E2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907E2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3349" w14:textId="6A923A7A" w:rsidR="009907E2" w:rsidRPr="00953F1E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3C15" w14:textId="021D34DD" w:rsidR="009907E2" w:rsidRPr="00953F1E" w:rsidRDefault="009907E2" w:rsidP="009907E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53F1E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1,987</w:t>
            </w:r>
          </w:p>
        </w:tc>
      </w:tr>
    </w:tbl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F1FFEF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F45F92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34586" w14:textId="77777777" w:rsidR="00953F1E" w:rsidRPr="00AC4062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5FC7062" w:rsidR="00B75DA9" w:rsidRPr="006C4C5C" w:rsidRDefault="00953F1E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  <w:r w:rsidR="006E19F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B75DA9" w:rsidRPr="006C4C5C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982647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5A952A07" w:rsidR="00857762" w:rsidRPr="006C4C5C" w:rsidRDefault="00953F1E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857762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9D33F" w14:textId="18762409" w:rsidR="00857762" w:rsidRPr="00953F1E" w:rsidRDefault="00953F1E" w:rsidP="00953F1E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>The Department of Social Welfare and Development Field Office IX through its Disaster Response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 xml:space="preserve">Management Division, is continuously coordinating with the concerned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LGU</w:t>
            </w:r>
            <w:r w:rsidRPr="00953F1E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updates on the status of affected families/individuals and possible assistance needed.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223EA965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  <w:bookmarkStart w:id="6" w:name="_3dy6vkm" w:colFirst="0" w:colLast="0"/>
      <w:bookmarkEnd w:id="6"/>
    </w:p>
    <w:p w14:paraId="56166BA5" w14:textId="5496243A" w:rsidR="00B75DA9" w:rsidRPr="00AC4062" w:rsidRDefault="00953F1E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C5BB" w14:textId="77777777" w:rsidR="00632FBA" w:rsidRDefault="00632FBA">
      <w:pPr>
        <w:spacing w:after="0" w:line="240" w:lineRule="auto"/>
      </w:pPr>
      <w:r>
        <w:separator/>
      </w:r>
    </w:p>
  </w:endnote>
  <w:endnote w:type="continuationSeparator" w:id="0">
    <w:p w14:paraId="18F52459" w14:textId="77777777" w:rsidR="00632FBA" w:rsidRDefault="0063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FC58C4C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B128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B12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6C4C5C">
      <w:rPr>
        <w:rFonts w:ascii="Arial" w:eastAsia="Arial" w:hAnsi="Arial" w:cs="Arial"/>
        <w:sz w:val="14"/>
        <w:szCs w:val="14"/>
      </w:rPr>
      <w:t>1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Brgy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r w:rsidR="00953F1E">
      <w:rPr>
        <w:rFonts w:ascii="Arial" w:eastAsia="Arial" w:hAnsi="Arial" w:cs="Arial"/>
        <w:sz w:val="14"/>
        <w:szCs w:val="14"/>
      </w:rPr>
      <w:t>Labuan</w:t>
    </w:r>
    <w:r w:rsidR="006C4C5C">
      <w:rPr>
        <w:rFonts w:ascii="Arial" w:eastAsia="Arial" w:hAnsi="Arial" w:cs="Arial"/>
        <w:sz w:val="14"/>
        <w:szCs w:val="14"/>
      </w:rPr>
      <w:t>, Zamboanga City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953F1E">
      <w:rPr>
        <w:rFonts w:ascii="Arial" w:eastAsia="Arial" w:hAnsi="Arial" w:cs="Arial"/>
        <w:sz w:val="14"/>
        <w:szCs w:val="14"/>
      </w:rPr>
      <w:t>24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953F1E">
      <w:rPr>
        <w:rFonts w:ascii="Arial" w:eastAsia="Arial" w:hAnsi="Arial" w:cs="Arial"/>
        <w:sz w:val="14"/>
        <w:szCs w:val="14"/>
      </w:rPr>
      <w:t>9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9474" w14:textId="77777777" w:rsidR="00632FBA" w:rsidRDefault="00632FBA">
      <w:pPr>
        <w:spacing w:after="0" w:line="240" w:lineRule="auto"/>
      </w:pPr>
      <w:r>
        <w:separator/>
      </w:r>
    </w:p>
  </w:footnote>
  <w:footnote w:type="continuationSeparator" w:id="0">
    <w:p w14:paraId="6E69B06E" w14:textId="77777777" w:rsidR="00632FBA" w:rsidRDefault="0063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41B92"/>
    <w:rsid w:val="00083789"/>
    <w:rsid w:val="00096310"/>
    <w:rsid w:val="000B1281"/>
    <w:rsid w:val="000B7A3D"/>
    <w:rsid w:val="000E38E9"/>
    <w:rsid w:val="000F4719"/>
    <w:rsid w:val="00103995"/>
    <w:rsid w:val="00186433"/>
    <w:rsid w:val="001B2088"/>
    <w:rsid w:val="001B6619"/>
    <w:rsid w:val="001B76F6"/>
    <w:rsid w:val="001F0486"/>
    <w:rsid w:val="001F0992"/>
    <w:rsid w:val="001F1F6E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297F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7B3E"/>
    <w:rsid w:val="00632FBA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178EA"/>
    <w:rsid w:val="00927484"/>
    <w:rsid w:val="00953F1E"/>
    <w:rsid w:val="00972279"/>
    <w:rsid w:val="0097377F"/>
    <w:rsid w:val="00982647"/>
    <w:rsid w:val="009907E2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07A16"/>
    <w:rsid w:val="00C30EEF"/>
    <w:rsid w:val="00C61BA3"/>
    <w:rsid w:val="00CB35DA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E112B6"/>
    <w:rsid w:val="00E32112"/>
    <w:rsid w:val="00E418EA"/>
    <w:rsid w:val="00E476B6"/>
    <w:rsid w:val="00E755D3"/>
    <w:rsid w:val="00EE646E"/>
    <w:rsid w:val="00EF0E3A"/>
    <w:rsid w:val="00EF2BE1"/>
    <w:rsid w:val="00F437D4"/>
    <w:rsid w:val="00F75D3D"/>
    <w:rsid w:val="00FC3E81"/>
    <w:rsid w:val="00FC7CD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2018-07-31T06:32:00Z</dcterms:created>
  <dcterms:modified xsi:type="dcterms:W3CDTF">2018-07-31T06:32:00Z</dcterms:modified>
</cp:coreProperties>
</file>