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21D4B745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703F79">
        <w:rPr>
          <w:rFonts w:ascii="Arial" w:eastAsia="Arial" w:hAnsi="Arial" w:cs="Arial"/>
          <w:b/>
          <w:sz w:val="32"/>
          <w:szCs w:val="24"/>
        </w:rPr>
        <w:t>2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546E689D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703F79">
        <w:rPr>
          <w:rFonts w:ascii="Arial" w:eastAsia="Arial" w:hAnsi="Arial" w:cs="Arial"/>
          <w:sz w:val="24"/>
          <w:szCs w:val="24"/>
        </w:rPr>
        <w:t>3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93C20">
        <w:rPr>
          <w:rFonts w:ascii="Arial" w:eastAsia="Arial" w:hAnsi="Arial" w:cs="Arial"/>
          <w:sz w:val="24"/>
          <w:szCs w:val="24"/>
        </w:rPr>
        <w:t>6A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159658F4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44072852" w14:textId="000F035D" w:rsidR="009E47F5" w:rsidRDefault="002E604C" w:rsidP="001D76C7">
      <w:pPr>
        <w:pStyle w:val="NoSpacing1"/>
        <w:spacing w:before="1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604C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4:00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C74BB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C74BB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affecting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Luzon.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Tropical Storm </w:t>
      </w:r>
      <w:r w:rsidR="00F45B54" w:rsidRP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>YAGI (formerly "KARDING")</w:t>
      </w:r>
      <w:r w:rsid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already outside the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Philippine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Responsibility.</w:t>
      </w:r>
    </w:p>
    <w:p w14:paraId="4118CBF2" w14:textId="7F41AE6C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2D01FBCB" w14:textId="1337126B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71062AAF" w:rsidR="00504341" w:rsidRDefault="00504341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6F3690">
        <w:rPr>
          <w:rFonts w:ascii="Arial" w:hAnsi="Arial" w:cs="Arial"/>
          <w:b/>
          <w:color w:val="002060"/>
          <w:sz w:val="28"/>
        </w:rPr>
        <w:t xml:space="preserve"> OF AFFECTED, DISPLACED, SERVED</w:t>
      </w:r>
      <w:r w:rsidR="00793C20">
        <w:rPr>
          <w:rFonts w:ascii="Arial" w:hAnsi="Arial" w:cs="Arial"/>
          <w:b/>
          <w:color w:val="002060"/>
          <w:sz w:val="28"/>
        </w:rPr>
        <w:t xml:space="preserve"> &amp; DAMAGED HOUSES</w:t>
      </w:r>
    </w:p>
    <w:p w14:paraId="6CE31EF1" w14:textId="77777777" w:rsidR="00A614DF" w:rsidRPr="00447F07" w:rsidRDefault="00A614DF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115"/>
        <w:gridCol w:w="1115"/>
        <w:gridCol w:w="1118"/>
        <w:gridCol w:w="1517"/>
        <w:gridCol w:w="1010"/>
        <w:gridCol w:w="1010"/>
        <w:gridCol w:w="1010"/>
        <w:gridCol w:w="1010"/>
        <w:gridCol w:w="1010"/>
        <w:gridCol w:w="1013"/>
        <w:gridCol w:w="759"/>
        <w:gridCol w:w="759"/>
        <w:gridCol w:w="805"/>
      </w:tblGrid>
      <w:tr w:rsidR="00793C20" w:rsidRPr="00FB3744" w14:paraId="0C99BA7F" w14:textId="77777777" w:rsidTr="00793C20">
        <w:trPr>
          <w:trHeight w:val="20"/>
          <w:tblHeader/>
          <w:jc w:val="right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4A4D6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88E89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0109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69A71D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0E02E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2EBF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72CFC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05CD37D4" w14:textId="77777777" w:rsidTr="00793C20">
        <w:trPr>
          <w:trHeight w:val="20"/>
          <w:tblHeader/>
          <w:jc w:val="right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944C4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3E940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C1F41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BECF7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A7E8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44902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5C02B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0DD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7B7D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52C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1FE8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DB9CA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483BFBBB" w14:textId="77777777" w:rsidTr="00793C20">
        <w:trPr>
          <w:trHeight w:val="20"/>
          <w:tblHeader/>
          <w:jc w:val="right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E3716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81FE11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FCABDE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5A276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A5BC3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3317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10AB3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859EE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2D94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A02BF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C3673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B839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D342A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B170A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45D1512E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3503D5" w14:textId="77777777" w:rsidR="00793C20" w:rsidRPr="00793C20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>GRAND TOTAL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E0E67C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   184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F6F04C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28,101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E6D77DE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132,259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9C349F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>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9BA1B6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14,082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9796D0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62,584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817F48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 4,046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8FCBF34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23,883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4003C1" w14:textId="507DD855" w:rsidR="00793C20" w:rsidRPr="00793C20" w:rsidRDefault="00793C20" w:rsidP="000034B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18,12</w:t>
            </w:r>
            <w:r w:rsidR="000034B7">
              <w:rPr>
                <w:rFonts w:ascii="Arial Narrow" w:hAnsi="Arial Narrow" w:cs="Arial"/>
                <w:b/>
                <w:bCs/>
                <w:sz w:val="20"/>
                <w:szCs w:val="18"/>
              </w:rPr>
              <w:t>8</w:t>
            </w: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DD0975" w14:textId="6B707D66" w:rsidR="00793C20" w:rsidRPr="00793C20" w:rsidRDefault="00793C20" w:rsidP="000034B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86,4</w:t>
            </w:r>
            <w:r w:rsidR="000034B7">
              <w:rPr>
                <w:rFonts w:ascii="Arial Narrow" w:hAnsi="Arial Narrow" w:cs="Arial"/>
                <w:b/>
                <w:bCs/>
                <w:sz w:val="20"/>
                <w:szCs w:val="18"/>
              </w:rPr>
              <w:t>6</w:t>
            </w: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FC0C192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22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CEBF74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938E91" w14:textId="77777777" w:rsidR="00793C20" w:rsidRPr="00793C20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 12 </w:t>
            </w:r>
          </w:p>
        </w:tc>
      </w:tr>
      <w:tr w:rsidR="00793C20" w:rsidRPr="00FB3744" w14:paraId="75658B4E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2418E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NCR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BD21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42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17D8C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8,650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E53AD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41,146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01D0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359EB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7,317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65C9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34,153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EB211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0479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A7517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7,317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ECDB0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34,153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BA08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AB7C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1951D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793C20" w:rsidRPr="00FB3744" w14:paraId="2E2C4741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954B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REGION 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3355B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66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6CC6B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8,502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0F536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38,981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FEC3B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A66F7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418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0FD07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1,675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E7A1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5DC79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F284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418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9E53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1,675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5B679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A2DCC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FDD04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793C20" w:rsidRPr="00FB3744" w14:paraId="037730B9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15F4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REGION III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082D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34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7D1A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5,476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7327A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28,846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C4CA5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27C6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931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BBB31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3,513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D174B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3,989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7816C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23,610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0FB3D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4,920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2A16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27,123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7FBD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19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760D4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E814E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9 </w:t>
            </w:r>
          </w:p>
        </w:tc>
      </w:tr>
      <w:tr w:rsidR="00793C20" w:rsidRPr="00FB3744" w14:paraId="662E115C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B31C0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CALABARZON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46B44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33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EADB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5,394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DACF4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23,153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4F689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6BEB0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5,394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44FA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23,153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0608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550BD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B4124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5,394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2EA34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23,153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39F6E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C243F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B6A6E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793C20" w:rsidRPr="00FB3744" w14:paraId="2F198DB1" w14:textId="77777777" w:rsidTr="00793C20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C382B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CAR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7BC3D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  9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15AD0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79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9BEB2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133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9898B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28BAF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22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997EE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90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74B3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  57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CBC1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273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C8B304" w14:textId="4598782A" w:rsidR="00793C20" w:rsidRPr="00793C20" w:rsidRDefault="00793C20" w:rsidP="00011215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</w:t>
            </w:r>
            <w:r w:rsidR="00011215">
              <w:rPr>
                <w:rFonts w:ascii="Arial Narrow" w:hAnsi="Arial Narrow" w:cs="Arial"/>
                <w:bCs/>
                <w:i/>
                <w:sz w:val="20"/>
                <w:szCs w:val="18"/>
              </w:rPr>
              <w:t>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889989" w14:textId="1628F7B0" w:rsidR="00793C20" w:rsidRPr="00793C20" w:rsidRDefault="00793C20" w:rsidP="00011215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3</w:t>
            </w:r>
            <w:r w:rsidR="00011215">
              <w:rPr>
                <w:rFonts w:ascii="Arial Narrow" w:hAnsi="Arial Narrow" w:cs="Arial"/>
                <w:bCs/>
                <w:i/>
                <w:sz w:val="20"/>
                <w:szCs w:val="18"/>
              </w:rPr>
              <w:t>63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70AF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D6D3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84BB7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3 </w:t>
            </w:r>
          </w:p>
        </w:tc>
      </w:tr>
    </w:tbl>
    <w:p w14:paraId="42CA5016" w14:textId="7CE44C13" w:rsidR="00504341" w:rsidRDefault="00504341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476525" w14:textId="5E12B61F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E1BE13" w14:textId="22A51F5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B00FAB" w14:textId="131BBAC2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9D85F12" w14:textId="52E4ECEE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625AAD" w14:textId="64D34EBD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80A4E5" w14:textId="3E6FE6F3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FBC6E0" w14:textId="7777777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BC18FF" w14:textId="77777777" w:rsidR="00793C20" w:rsidRDefault="00793C20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9B3EA2E" w14:textId="116751DC" w:rsidR="00A614DF" w:rsidRDefault="00A614DF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 PER REGIONS</w:t>
      </w:r>
    </w:p>
    <w:p w14:paraId="7EDBB3DB" w14:textId="5C7295D1" w:rsidR="00504341" w:rsidRDefault="00504341" w:rsidP="0050434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p w14:paraId="44E92D24" w14:textId="03A20969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865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117"/>
        <w:gridCol w:w="1118"/>
        <w:gridCol w:w="1121"/>
        <w:gridCol w:w="1518"/>
        <w:gridCol w:w="1010"/>
        <w:gridCol w:w="1010"/>
        <w:gridCol w:w="1010"/>
        <w:gridCol w:w="1010"/>
        <w:gridCol w:w="1010"/>
        <w:gridCol w:w="1013"/>
        <w:gridCol w:w="759"/>
        <w:gridCol w:w="759"/>
        <w:gridCol w:w="801"/>
      </w:tblGrid>
      <w:tr w:rsidR="00793C20" w:rsidRPr="00FB3744" w14:paraId="6CFFA202" w14:textId="77777777" w:rsidTr="00793C20">
        <w:trPr>
          <w:trHeight w:val="20"/>
          <w:tblHeader/>
          <w:jc w:val="right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76D9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1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34393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84848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5DDA8D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A3A3A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CA7CE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7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D8E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4F2980DB" w14:textId="77777777" w:rsidTr="00793C20">
        <w:trPr>
          <w:trHeight w:val="20"/>
          <w:tblHeader/>
          <w:jc w:val="right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F7237C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19102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8DACA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24EED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A764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978E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F5B2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C9CEE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3299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2E7B9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490B0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7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7FE7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2ADE9DFA" w14:textId="77777777" w:rsidTr="00793C20">
        <w:trPr>
          <w:trHeight w:val="20"/>
          <w:tblHeader/>
          <w:jc w:val="right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412DC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86B59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12A7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6CB1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D9B2C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AC677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092A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A8942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478CD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F28ED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5F72B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C022B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003FE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9FC1E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5225099F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5F733C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D46B3C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42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2BD9A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8,650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D0B0DC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41,146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1DC1AF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9C47A5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7,317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753C17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34,153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F0C34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D41C87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5747C6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7,317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6963E0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34,153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296643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44E2AB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B89B27" w14:textId="77777777" w:rsidR="00793C20" w:rsidRPr="00FB3744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436B103E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EF0CA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Malabon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C6229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AABE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81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110EF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350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8CC7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49A35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81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B0DF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350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24087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56C2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F2495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81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F370A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350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5BAC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4AD3F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B2476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AF334F2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5AE6B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Mandaluyong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523CF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FACAC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200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2A48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1,000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AE1C7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86EA2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0D93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9FC1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B96B9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60E97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E8D51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42C36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FBC5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F8E84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7ED173A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43034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Manila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E0983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3BB03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148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4506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558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E37A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98AC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148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F075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558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9238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45E6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F6CBB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148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F2292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558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20EEB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2DBD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69910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F9568B2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A0DEB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Marikina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CF9B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12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5605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4,710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5CADB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22,818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FFD7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CD2B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4,453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9BBD2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21,464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B517E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62C75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8741E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4,453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F741A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21,464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47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ADD3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4A83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3107557C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DE490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Pasig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4A5F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803B2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1,157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69AD5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5,323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2AE31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64A4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1,128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6BB7A6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4,468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0FD7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B8DE3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1433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1,128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ED468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4,468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B7EBA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D774F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AF6D7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5011230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67351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Quezon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6B776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16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D1C84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2,164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FC060E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10,475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8139E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62AB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1,385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F11D8D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6,925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075BE7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5D70C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BD580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1,385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E7633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6,925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B8F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835A44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2A977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B58642B" w14:textId="77777777" w:rsidTr="00793C20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237535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Valenzuela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544DD2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3A236A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190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6D8733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622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E8ACB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376FD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122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CAE9F1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388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7DA409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0AACCF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945C3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122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A35E3C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388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30820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B95C8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EDF18B" w14:textId="77777777" w:rsidR="00793C20" w:rsidRPr="00793C20" w:rsidRDefault="00793C20" w:rsidP="00793C20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</w:tbl>
    <w:p w14:paraId="117FDC6A" w14:textId="643B1FC2" w:rsidR="00A614DF" w:rsidRDefault="00A614DF" w:rsidP="00793C2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562E22EA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</w:t>
      </w:r>
    </w:p>
    <w:p w14:paraId="448F13B6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2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2100"/>
        <w:gridCol w:w="1089"/>
        <w:gridCol w:w="854"/>
        <w:gridCol w:w="1119"/>
        <w:gridCol w:w="1518"/>
        <w:gridCol w:w="1011"/>
        <w:gridCol w:w="1011"/>
        <w:gridCol w:w="1011"/>
        <w:gridCol w:w="1011"/>
        <w:gridCol w:w="1011"/>
        <w:gridCol w:w="1014"/>
        <w:gridCol w:w="760"/>
        <w:gridCol w:w="760"/>
        <w:gridCol w:w="784"/>
      </w:tblGrid>
      <w:tr w:rsidR="00793C20" w:rsidRPr="00FB3744" w14:paraId="47F8CBC9" w14:textId="77777777" w:rsidTr="000034B7">
        <w:trPr>
          <w:trHeight w:val="20"/>
          <w:tblHeader/>
          <w:jc w:val="right"/>
        </w:trPr>
        <w:tc>
          <w:tcPr>
            <w:tcW w:w="7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98365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6A3F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61A1BB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22A691D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6B36258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174A4A8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A67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5A15BF09" w14:textId="77777777" w:rsidTr="000034B7">
        <w:trPr>
          <w:trHeight w:val="20"/>
          <w:tblHeader/>
          <w:jc w:val="right"/>
        </w:trPr>
        <w:tc>
          <w:tcPr>
            <w:tcW w:w="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B251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FB8E2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89B8B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F83F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BE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860CE7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4DE818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71B018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15DBB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B9B3FF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DF0E46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45A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48AD02B2" w14:textId="77777777" w:rsidTr="000034B7">
        <w:trPr>
          <w:trHeight w:val="20"/>
          <w:tblHeader/>
          <w:jc w:val="right"/>
        </w:trPr>
        <w:tc>
          <w:tcPr>
            <w:tcW w:w="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972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C008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DF5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6CFC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2DE6E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FEE55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1C6E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29370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10B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A3F4D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F3CEB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E25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08974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A1079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37FF442B" w14:textId="77777777" w:rsidTr="000034B7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ED5E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15AE9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66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95B8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8,502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8734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38,981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B379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0A30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418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B111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1,675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B9F7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222C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BFD4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418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FC13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1,675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441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76D7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018A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EEB1E16" w14:textId="77777777" w:rsidTr="000034B7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6FC9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5E87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386A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281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1,083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3FE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98B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7A5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B8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243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87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F8A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75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7FE7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AA00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3D7F92D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E2C8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03B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Bantay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5050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E10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C7A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900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1FC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C64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3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FA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8C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B75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F7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EE6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26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A0F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10D7966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F297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826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Lidlidda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A08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804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2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0B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0FD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CB5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E9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05B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DE1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59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61C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65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98B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17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E1E34BC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13B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851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Magsingal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36CD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0FC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 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B6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 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072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52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D1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01A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FD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AB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12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C56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26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633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FBEC145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9DE87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866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1C4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96D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242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C8C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679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C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414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A4C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C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CE9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C66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635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E4A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F8ACA50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9810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F6D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6"/>
                <w:szCs w:val="18"/>
              </w:rPr>
              <w:t>CITY OF VIGAN (Capital)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F95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155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52F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8A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502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97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62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A0D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CB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B07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DA0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819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03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9C7CAF5" w14:textId="77777777" w:rsidTr="000034B7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0223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CCEC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70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3,193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7C28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12,885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F35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F666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AF5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CB8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1391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8EE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C738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88F1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5E3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D12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72E871B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20F6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8D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48CF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28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17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3,193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00A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12,885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FA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48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03F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2A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80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356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A29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E78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DEC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CBE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3BF7DFD" w14:textId="77777777" w:rsidTr="000034B7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21D9B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6947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A1B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5,086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D02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25,013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1A5D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34DE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417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1081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1,668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0EE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5DA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5D8F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417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1D0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1,668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6BF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1E33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5C41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347BC6E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14D7E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BAE7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Calasiao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31D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041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7B7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6C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0A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F7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B4A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BA7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2F1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665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0CA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E52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6FB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5431C94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4ADB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129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B472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9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5CD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147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A5B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504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D9E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BDD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1CF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83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0D5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86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147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E6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504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D0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A47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07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8D1BA89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C331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73E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9B5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243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E9B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63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9B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2B3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D3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6F9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A4D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37B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A4D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0C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AF0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9F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122A7F0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E239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26A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Mangatarem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984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C97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712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47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FB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D8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0AE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4AE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7E5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B3D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5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3A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5BA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47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218F284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997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976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A86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3F6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016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A1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D1A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9C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73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F2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721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EB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18C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57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3E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2DD8B17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A5A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6FC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E29D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84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4,755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C4A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23,775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EE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6BB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976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677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5BB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2B0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86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0BA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430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C46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787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D0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2BB8820" w14:textId="77777777" w:rsidTr="000034B7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DB5C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F3D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B46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A9A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94D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500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74F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24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EDD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479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8C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55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54A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C71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50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64A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28688E19" w14:textId="451E4B82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37C6401E" w14:textId="7B390324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53A7EAD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B969644" w14:textId="17C1487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III</w:t>
      </w:r>
    </w:p>
    <w:p w14:paraId="2728DC78" w14:textId="77777777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979"/>
        <w:gridCol w:w="1203"/>
        <w:gridCol w:w="953"/>
        <w:gridCol w:w="1022"/>
        <w:gridCol w:w="1517"/>
        <w:gridCol w:w="1010"/>
        <w:gridCol w:w="1010"/>
        <w:gridCol w:w="1010"/>
        <w:gridCol w:w="1010"/>
        <w:gridCol w:w="1010"/>
        <w:gridCol w:w="1013"/>
        <w:gridCol w:w="760"/>
        <w:gridCol w:w="760"/>
        <w:gridCol w:w="796"/>
      </w:tblGrid>
      <w:tr w:rsidR="00793C20" w:rsidRPr="00FB3744" w14:paraId="1F7643E9" w14:textId="77777777" w:rsidTr="000034B7">
        <w:trPr>
          <w:trHeight w:val="20"/>
          <w:tblHeader/>
          <w:jc w:val="right"/>
        </w:trPr>
        <w:tc>
          <w:tcPr>
            <w:tcW w:w="6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E69E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13A6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8C959F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0F8CC0D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25CE610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796D257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43B4A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0A5B1A25" w14:textId="77777777" w:rsidTr="000034B7">
        <w:trPr>
          <w:trHeight w:val="20"/>
          <w:tblHeader/>
          <w:jc w:val="right"/>
        </w:trPr>
        <w:tc>
          <w:tcPr>
            <w:tcW w:w="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020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11E1B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0C0A6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8201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997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5539A9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35F42D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89408C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225A0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AE438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0575ED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2ED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73FD1329" w14:textId="77777777" w:rsidTr="000034B7">
        <w:trPr>
          <w:trHeight w:val="20"/>
          <w:tblHeader/>
          <w:jc w:val="right"/>
        </w:trPr>
        <w:tc>
          <w:tcPr>
            <w:tcW w:w="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B2B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F5F0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E1C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CD22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05C4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11023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8E931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E433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551E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772AF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B8F1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0DC2C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73CA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E37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7E77EDCE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10BB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A3BDA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6D6A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5,476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601A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28,846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9A7C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738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931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7606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3,513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BA0A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3,989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1D0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23,610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6992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4,920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6F45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27,123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B92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FE60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86F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 </w:t>
            </w:r>
          </w:p>
        </w:tc>
      </w:tr>
      <w:tr w:rsidR="00793C20" w:rsidRPr="00FB3744" w14:paraId="562B5CD5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AFB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D7B2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9B2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86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768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AA9E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3A8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FA3A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710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37A0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E88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0A33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21C3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2574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A45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4BF4B0B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5481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BB9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B27F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7F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5C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301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E63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33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46C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A5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7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86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14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5BF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EB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30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992E63D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E879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568B9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F87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4,658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D40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26,133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A2E7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2B1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624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2595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2,323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90AA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3,973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9C80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23,541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AE8C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4,597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1751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25,864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58F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D336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9BD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39CBB01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78E4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E9C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Balagtas (Bigaa)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19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5D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D7C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683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38E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ED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BE5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A6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250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16D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2B9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5E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C1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ADCB5F9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CC4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EBD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FFA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89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360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7A3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1,152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CDB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DC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360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29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A63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56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0E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360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53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1,152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E5B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74C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AD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5F4D522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DF95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1C3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80D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AC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153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D5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580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39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CC4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92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46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030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72B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DFC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92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999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311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C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24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40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A45547E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1304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CCBE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Meycauayan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4A4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25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4,065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E6C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24,042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2B0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0F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121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C3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642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70A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3,944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AD6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23,400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2A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4,065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A6B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24,042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8C6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536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D6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CB49E3C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7428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56A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89E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651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E4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09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53E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38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9E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183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E9C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AA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D5F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7F3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324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2F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29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EBD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AECB0D3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71D9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61F3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93FA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47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BB11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208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03B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C46D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68B5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208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C24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18B4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86A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47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D015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208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D9D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3E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8C64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A1B1DDE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8464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D68C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Bacolor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95C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896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D7E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83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C96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95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EFE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920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24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DCB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18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FD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08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663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B8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4D75936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4C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258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Candaba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1244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A8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48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E00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D9B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EAC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645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E59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358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894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78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965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643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DE4A54E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22F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457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Macabebe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2F9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83C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225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107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9B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10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4C5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107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A00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71D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B5D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110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107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2E4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59D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D9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AC8788E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6952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5B22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004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81D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1E6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3BA3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B153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A8F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CAF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B3A7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F96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6712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FA2D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B20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D2B17D9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5BA6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BA97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FD0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155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B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10B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75E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CE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055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9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54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281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35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6BF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83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643F9F5" w14:textId="77777777" w:rsidTr="000034B7">
        <w:trPr>
          <w:trHeight w:val="20"/>
          <w:jc w:val="right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E865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4C5BE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2F9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682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6A1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2,159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DD06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2023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171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B2A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636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C18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09D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53EE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187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B4D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705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283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74C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E77B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 </w:t>
            </w:r>
          </w:p>
        </w:tc>
      </w:tr>
      <w:tr w:rsidR="00793C20" w:rsidRPr="00FB3744" w14:paraId="0DBF4099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8E85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741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A28B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A8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511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84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1,523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C49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31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8C9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87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E2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EB0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6C3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B5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16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08A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4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 </w:t>
            </w:r>
          </w:p>
        </w:tc>
      </w:tr>
      <w:tr w:rsidR="00793C20" w:rsidRPr="00FB3744" w14:paraId="409F06BF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E5C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E5F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63D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F5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171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5F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636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64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0D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171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3D4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5E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22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114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171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A9B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636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35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4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D9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 </w:t>
            </w:r>
          </w:p>
        </w:tc>
      </w:tr>
    </w:tbl>
    <w:p w14:paraId="31B18028" w14:textId="2711BEBC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ECEF9A0" w14:textId="0B4DC796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1EE70E0" w14:textId="7D8B2449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DFC0BC3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18E5022" w14:textId="6FE3783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 CALABARZON</w:t>
      </w:r>
    </w:p>
    <w:p w14:paraId="4BA4D46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075"/>
        <w:gridCol w:w="1049"/>
        <w:gridCol w:w="1065"/>
        <w:gridCol w:w="965"/>
        <w:gridCol w:w="1517"/>
        <w:gridCol w:w="1010"/>
        <w:gridCol w:w="1010"/>
        <w:gridCol w:w="1010"/>
        <w:gridCol w:w="1010"/>
        <w:gridCol w:w="1010"/>
        <w:gridCol w:w="1013"/>
        <w:gridCol w:w="760"/>
        <w:gridCol w:w="760"/>
        <w:gridCol w:w="799"/>
      </w:tblGrid>
      <w:tr w:rsidR="00793C20" w:rsidRPr="00FB3744" w14:paraId="3768F309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0FA74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2494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53112E5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552C60E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228E63D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4B984A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68469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2A4C808D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747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C1BF8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E130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8DFE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2AE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7CBF6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6CD696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1512C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23DD3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4E9ACB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392E0D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519B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17F54ABF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618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B296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EFB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4DC6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A955E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283B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94182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EDEF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6B906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908D5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C655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17528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C6D6A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264A1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3EDB3755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9D92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D69F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701A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5,394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7EE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23,153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F44C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DDFC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5,394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EC7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23,153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92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100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D595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5,394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A39C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23,153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642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48B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8B66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7E0F0BF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6998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0410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4D31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214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4291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897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97FF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E35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214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691F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897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A5A7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D67B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195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214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8DE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897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130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9AC3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14D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437BB4B5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0D00B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E4D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60A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8CA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E6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709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1D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9B7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442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CA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0A0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7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89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5A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CB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0DE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68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D6F49D8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0528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F5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098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314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125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80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852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AA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CE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455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A4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EA9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7C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C4A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455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3C9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45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880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CDB82E6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0A54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09AE2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2BC0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320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32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363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9F7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7B26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32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3F9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552B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21F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8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6AB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32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3CF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6C0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3359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A267D8F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8F5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CC8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Los Baños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7C7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574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9F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C1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A4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AEE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3D5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FF2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C03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03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4A9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42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98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4446701D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B92E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1AA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731B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7E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D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EB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D5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EAA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612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4C5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6A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AE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4E7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CF3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4BF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F2F7762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7EE8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5F999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52C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5,172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A68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22,224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108D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D5EC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5,172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A9C8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22,224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336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6DE4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919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5,172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4DA1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22,224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06C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B3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1D75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B3A31F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39C5B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19E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Antipolo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EB1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D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F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AA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74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C7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69A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05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1D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9F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E72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1BD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865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8EA2C16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ABF2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CB2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7EEA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AD4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4C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91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C17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2E1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9D2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91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7E6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962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F9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D2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91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D03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CD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344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987EBF8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381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73A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F37A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659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289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63C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1,113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C263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1F4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289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6FBC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5E3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80B2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1F6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289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898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1,113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0E7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EC27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75F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17A543A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4512E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B2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Rodriguez (Montalban)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A57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A23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2,352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DA5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11,157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2DD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E42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2,352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603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11,157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0D9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5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83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2,352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623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11,157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2D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C0C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FD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9CDD33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F82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F9A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80D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50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2,344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79B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9,123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6B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9E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2,344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F4E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9,123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DA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23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E1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2,344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E5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9,123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401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D99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863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AFC792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BAA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EDB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71A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B8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E11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720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650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903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166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68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720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0D5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AD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04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166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BC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720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41D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67B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CCB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7D6090F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537ECC7F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904D7C9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1281F88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5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9"/>
        <w:gridCol w:w="2011"/>
        <w:gridCol w:w="1063"/>
        <w:gridCol w:w="996"/>
        <w:gridCol w:w="1048"/>
        <w:gridCol w:w="1518"/>
        <w:gridCol w:w="1011"/>
        <w:gridCol w:w="1011"/>
        <w:gridCol w:w="1011"/>
        <w:gridCol w:w="1011"/>
        <w:gridCol w:w="1011"/>
        <w:gridCol w:w="1014"/>
        <w:gridCol w:w="758"/>
        <w:gridCol w:w="758"/>
        <w:gridCol w:w="797"/>
      </w:tblGrid>
      <w:tr w:rsidR="00793C20" w:rsidRPr="00FB3744" w14:paraId="5AB9C29D" w14:textId="77777777" w:rsidTr="006C74BB">
        <w:trPr>
          <w:trHeight w:val="20"/>
          <w:tblHeader/>
          <w:jc w:val="right"/>
        </w:trPr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8B2E3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E3B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268D70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3B0EDE3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446F014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7191B85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9EBD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593ABE0E" w14:textId="77777777" w:rsidTr="006C74BB">
        <w:trPr>
          <w:trHeight w:val="20"/>
          <w:tblHeader/>
          <w:jc w:val="right"/>
        </w:trPr>
        <w:tc>
          <w:tcPr>
            <w:tcW w:w="6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8B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30A19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B3673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8C32A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02D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25602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8A3909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5EF401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467B35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FC747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B072ED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B34E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3EB77D72" w14:textId="77777777" w:rsidTr="006C74BB">
        <w:trPr>
          <w:trHeight w:val="20"/>
          <w:tblHeader/>
          <w:jc w:val="right"/>
        </w:trPr>
        <w:tc>
          <w:tcPr>
            <w:tcW w:w="6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0FB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467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B6B8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7DE0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FA35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AE7F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2165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8014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E2C0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0B68F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C7ECC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38F1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256EC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1780D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6C74BB" w:rsidRPr="00FB3744" w14:paraId="78163E5A" w14:textId="77777777" w:rsidTr="006C74BB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52A62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7E1EA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9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2D90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79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BACBE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133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3EC367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AF9BE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BD81F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90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EFEE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57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564A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273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3C71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8B3F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BD31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9EC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00897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</w:tr>
      <w:tr w:rsidR="006C74BB" w:rsidRPr="00FB3744" w14:paraId="24C7974D" w14:textId="77777777" w:rsidTr="006C74BB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2F710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CD7BC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D269C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EE3F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B9A6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E183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49AF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93E5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A205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7B06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7307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C19C7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5D69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2209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6C74BB" w:rsidRPr="00FB3744" w14:paraId="6D453764" w14:textId="77777777" w:rsidTr="006C74BB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42B55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24DB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Lagangilang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E29D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8105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6A7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51C9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52A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9BB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0E9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E4FE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9CD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E9A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933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802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A78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6C74BB" w:rsidRPr="00FB3744" w14:paraId="4FAC6EBF" w14:textId="77777777" w:rsidTr="006C74BB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E480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CF01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E1E4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76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D27A5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122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6BD4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852E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1BA1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90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CF17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54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7B49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262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83A09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76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726B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095A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78C4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42D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</w:tr>
      <w:tr w:rsidR="006C74BB" w:rsidRPr="00FB3744" w14:paraId="07D5D28A" w14:textId="77777777" w:rsidTr="006C74BB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63FD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A925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A7D1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B95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1B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51BC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6DB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E0B3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0239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44AF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D0B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6F25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AB8C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C9D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13FF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 </w:t>
            </w:r>
          </w:p>
        </w:tc>
      </w:tr>
      <w:tr w:rsidR="006C74BB" w:rsidRPr="00FB3744" w14:paraId="26E7E8CD" w14:textId="77777777" w:rsidTr="006C74BB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AB4C0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192" w14:textId="77777777" w:rsidR="000034B7" w:rsidRPr="00FB3744" w:rsidRDefault="000034B7" w:rsidP="005755D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ED04" w14:textId="77777777" w:rsidR="000034B7" w:rsidRPr="00FB3744" w:rsidRDefault="000034B7" w:rsidP="005755D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AE6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D03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 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06D5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D0F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EF1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F021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1A2D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F14F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500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A903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AB09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5508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 </w:t>
            </w:r>
          </w:p>
        </w:tc>
      </w:tr>
      <w:tr w:rsidR="006C74BB" w:rsidRPr="00FB3744" w14:paraId="66E2870A" w14:textId="77777777" w:rsidTr="006C74BB">
        <w:trPr>
          <w:trHeight w:val="20"/>
          <w:jc w:val="right"/>
        </w:trPr>
        <w:tc>
          <w:tcPr>
            <w:tcW w:w="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D299" w14:textId="77777777" w:rsidR="000034B7" w:rsidRPr="00FB3744" w:rsidRDefault="000034B7" w:rsidP="005755D1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EE0E" w14:textId="77777777" w:rsidR="000034B7" w:rsidRPr="00FB3744" w:rsidRDefault="000034B7" w:rsidP="005755D1">
            <w:pPr>
              <w:spacing w:after="0" w:line="240" w:lineRule="auto"/>
              <w:ind w:firstLine="90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6AF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BA46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1302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78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E5B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0A26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2E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1B90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8C6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F604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D93B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AE36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182C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1F8F" w14:textId="77777777" w:rsidR="000034B7" w:rsidRPr="00FB3744" w:rsidRDefault="000034B7" w:rsidP="005755D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0BB5D4EA" w14:textId="77777777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23D4B3AE" w14:textId="7B829891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385D8AE6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20196D96" w:rsidR="006F3690" w:rsidRDefault="006F3690" w:rsidP="006F369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COST OF ASSISTANCE</w:t>
      </w:r>
    </w:p>
    <w:p w14:paraId="46354297" w14:textId="77777777" w:rsidR="006F3690" w:rsidRDefault="006F3690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3684"/>
        <w:gridCol w:w="2023"/>
        <w:gridCol w:w="2023"/>
        <w:gridCol w:w="2023"/>
        <w:gridCol w:w="2023"/>
        <w:gridCol w:w="2017"/>
      </w:tblGrid>
      <w:tr w:rsidR="006F3690" w:rsidRPr="006F3690" w14:paraId="478253C4" w14:textId="77777777" w:rsidTr="006F3690">
        <w:trPr>
          <w:trHeight w:val="373"/>
          <w:tblHeader/>
        </w:trPr>
        <w:tc>
          <w:tcPr>
            <w:tcW w:w="17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088052" w14:textId="77777777" w:rsidR="006F3690" w:rsidRPr="006F3690" w:rsidRDefault="006F3690" w:rsidP="006F36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2FB011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6F3690" w:rsidRPr="006F3690" w14:paraId="21EF3B4A" w14:textId="77777777" w:rsidTr="006F3690">
        <w:trPr>
          <w:trHeight w:val="20"/>
          <w:tblHeader/>
        </w:trPr>
        <w:tc>
          <w:tcPr>
            <w:tcW w:w="1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0B69" w14:textId="77777777" w:rsidR="006F3690" w:rsidRPr="006F3690" w:rsidRDefault="006F3690" w:rsidP="006F369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7D91EA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537E85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299D38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812C35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9D64D" w14:textId="77777777" w:rsidR="006F3690" w:rsidRPr="006F3690" w:rsidRDefault="006F3690" w:rsidP="006F3690">
            <w:pPr>
              <w:spacing w:after="0" w:line="240" w:lineRule="auto"/>
              <w:ind w:right="1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F3690" w:rsidRPr="006F3690" w14:paraId="648A2305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A5821" w14:textId="77777777" w:rsidR="006F3690" w:rsidRPr="006F3690" w:rsidRDefault="006F3690" w:rsidP="006F369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39F31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12,526,938.49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ECCE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114,250.00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88DCC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547B97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161756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12,641,188.49 </w:t>
            </w:r>
          </w:p>
        </w:tc>
      </w:tr>
      <w:tr w:rsidR="006F3690" w:rsidRPr="006F3690" w14:paraId="73BBE14E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E5C6C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DC5A65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12,518,314.00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4D99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D3EDE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19487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BDCA0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12,518,314.00 </w:t>
            </w:r>
          </w:p>
        </w:tc>
      </w:tr>
      <w:tr w:rsidR="006F3690" w:rsidRPr="006F3690" w14:paraId="15B9FF6F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F5EDB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6B23B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30,274.00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3D87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53172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6AE3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7537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30,274.00 </w:t>
            </w:r>
          </w:p>
        </w:tc>
      </w:tr>
      <w:tr w:rsidR="006F3690" w:rsidRPr="006F3690" w14:paraId="400B2870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8FAD3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Mandaluyong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B3EA6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302,740.00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F69E1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DB514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8A007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FE544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302,740.00 </w:t>
            </w:r>
          </w:p>
        </w:tc>
      </w:tr>
      <w:tr w:rsidR="006F3690" w:rsidRPr="006F3690" w14:paraId="561EB56A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B1626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D71E4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11,420,380.00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199C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E5116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9838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8616F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11,420,380.00 </w:t>
            </w:r>
          </w:p>
        </w:tc>
      </w:tr>
      <w:tr w:rsidR="006F3690" w:rsidRPr="006F3690" w14:paraId="6EB738FE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29865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D4252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363,288.00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FF5B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22F6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1919A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C592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363,288.00 </w:t>
            </w:r>
          </w:p>
        </w:tc>
      </w:tr>
      <w:tr w:rsidR="006F3690" w:rsidRPr="006F3690" w14:paraId="26422321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6901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3013E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401,632.00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34BA4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99B30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3344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9C90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401,632.00 </w:t>
            </w:r>
          </w:p>
        </w:tc>
      </w:tr>
      <w:tr w:rsidR="006F3690" w:rsidRPr="006F3690" w14:paraId="5D90090C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A800E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F757A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A7B5F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113,400.00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BD23C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D491F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B17E3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113,400.00 </w:t>
            </w:r>
          </w:p>
        </w:tc>
      </w:tr>
      <w:tr w:rsidR="006F3690" w:rsidRPr="006F3690" w14:paraId="60A8A7A3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80A4A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FBF88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3879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113,400.00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68F9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0645B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6EDAB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113,400.00 </w:t>
            </w:r>
          </w:p>
        </w:tc>
      </w:tr>
      <w:tr w:rsidR="006F3690" w:rsidRPr="006F3690" w14:paraId="7649551D" w14:textId="77777777" w:rsidTr="006F3690">
        <w:trPr>
          <w:trHeight w:val="2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41558" w14:textId="77777777" w:rsidR="006F3690" w:rsidRPr="006F3690" w:rsidRDefault="006F3690" w:rsidP="006F3690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B7D9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C25F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7560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23,400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CCEE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6D0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541B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23,400 </w:t>
            </w:r>
          </w:p>
        </w:tc>
      </w:tr>
      <w:tr w:rsidR="006F3690" w:rsidRPr="006F3690" w14:paraId="53A96B7E" w14:textId="77777777" w:rsidTr="006F3690">
        <w:trPr>
          <w:trHeight w:val="2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3A69" w14:textId="77777777" w:rsidR="006F3690" w:rsidRPr="006F3690" w:rsidRDefault="006F3690" w:rsidP="006F3690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B82A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245C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B610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90,000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5915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493B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24AA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90,000 </w:t>
            </w:r>
          </w:p>
        </w:tc>
      </w:tr>
      <w:tr w:rsidR="006F3690" w:rsidRPr="006F3690" w14:paraId="0A7D03F6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DA388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75B51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8,624.49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71423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850.00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C30CD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8D0C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E7E38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9,474.49 </w:t>
            </w:r>
          </w:p>
        </w:tc>
      </w:tr>
      <w:tr w:rsidR="006F3690" w:rsidRPr="006F3690" w14:paraId="15118E1B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DB122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14B1B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1,199.25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B180F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6DBB3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76394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400D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1,199.25 </w:t>
            </w:r>
          </w:p>
        </w:tc>
      </w:tr>
      <w:tr w:rsidR="006F3690" w:rsidRPr="006F3690" w14:paraId="3F9F0EAA" w14:textId="77777777" w:rsidTr="006F3690">
        <w:trPr>
          <w:trHeight w:val="2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4C4B" w14:textId="77777777" w:rsidR="006F3690" w:rsidRPr="006F3690" w:rsidRDefault="006F3690" w:rsidP="006F3690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B2B5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C550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1,199.25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55B1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5A05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28E3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79B5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1,199.25 </w:t>
            </w:r>
          </w:p>
        </w:tc>
      </w:tr>
      <w:tr w:rsidR="006F3690" w:rsidRPr="006F3690" w14:paraId="2C7A1D15" w14:textId="77777777" w:rsidTr="006F3690">
        <w:trPr>
          <w:trHeight w:val="20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2579D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8034A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7,425.24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3253E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850.00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8A2FF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20AFE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CA3F1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8,275.24 </w:t>
            </w:r>
          </w:p>
        </w:tc>
      </w:tr>
      <w:tr w:rsidR="006F3690" w:rsidRPr="006F3690" w14:paraId="2D3D5FE9" w14:textId="77777777" w:rsidTr="006F3690">
        <w:trPr>
          <w:trHeight w:val="2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A81DF" w14:textId="77777777" w:rsidR="006F3690" w:rsidRPr="006F3690" w:rsidRDefault="006F3690" w:rsidP="006F3690">
            <w:pPr>
              <w:spacing w:after="0" w:line="240" w:lineRule="auto"/>
              <w:ind w:firstLine="142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40A6" w14:textId="77777777" w:rsidR="006F3690" w:rsidRPr="006F3690" w:rsidRDefault="006F3690" w:rsidP="006F3690">
            <w:pPr>
              <w:spacing w:after="0" w:line="240" w:lineRule="auto"/>
              <w:ind w:firstLine="14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E4B7" w14:textId="77777777" w:rsidR="006F3690" w:rsidRPr="006F3690" w:rsidRDefault="006F3690" w:rsidP="006F3690">
            <w:pPr>
              <w:spacing w:after="0" w:line="240" w:lineRule="auto"/>
              <w:ind w:right="180" w:firstLine="142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7,425.24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141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850.00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F832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6C69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AE3E" w14:textId="77777777" w:rsidR="006F3690" w:rsidRPr="006F3690" w:rsidRDefault="006F3690" w:rsidP="006F3690">
            <w:pPr>
              <w:spacing w:after="0" w:line="240" w:lineRule="auto"/>
              <w:ind w:right="180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F369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8,275.24 </w:t>
            </w:r>
          </w:p>
        </w:tc>
      </w:tr>
    </w:tbl>
    <w:p w14:paraId="3092CD58" w14:textId="77777777" w:rsidR="006F3690" w:rsidRDefault="006F3690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BDB320B" w14:textId="7809F1EB" w:rsidR="0036586F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4510A4F" w14:textId="3A4915C1" w:rsid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0D47078" w14:textId="0A93040D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0F169A" w14:textId="6122C778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E4B345E" w14:textId="68E4F804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30BAA2A" w14:textId="2A4A2C44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7A90E652" w14:textId="448EE3EB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8CA7E18" w14:textId="0A109F3F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AB9DB73" w14:textId="6CFAEBA4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712EDE53" w14:textId="3685725B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880DFA1" w14:textId="3CFD559A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DC9D0E1" w14:textId="1AD753CB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1B64E2A" w14:textId="4EEC8268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253AC77" w14:textId="36B2BA5B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1A40550" w14:textId="5C73E7F7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596CCD7" w14:textId="6383F5C6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78A796" w14:textId="77777777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4FF6B83" w14:textId="77777777" w:rsidR="006F3690" w:rsidRDefault="006F3690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3690" w:rsidRDefault="00330256" w:rsidP="00525CAA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lastRenderedPageBreak/>
        <w:t>Situational</w:t>
      </w:r>
      <w:r w:rsidR="00812C32" w:rsidRPr="006F3690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069EE424" w14:textId="77777777" w:rsidR="006F3690" w:rsidRDefault="006F3690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0CD062A2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0E46CB60" w:rsidR="00081254" w:rsidRPr="00081254" w:rsidRDefault="00081254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95515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is continuously coordinating with the 17 LGUs thru its respective Local Social Welfare and Development Office (LSWDOs) regarding necessary augmentation assistance needed by the affected families. </w:t>
            </w:r>
          </w:p>
          <w:p w14:paraId="7BA4435C" w14:textId="23106392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Disaster Response Management Division and the FO Quick Response Teams are on standby-alert for any eventualities that might happen due to the effects of Habagat </w:t>
            </w:r>
          </w:p>
          <w:p w14:paraId="255A3F5E" w14:textId="2BEE9A5A" w:rsidR="00081254" w:rsidRP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As of the reporting period, one individual was reported to have drowned in Marikina City.</w:t>
            </w:r>
          </w:p>
        </w:tc>
      </w:tr>
    </w:tbl>
    <w:p w14:paraId="64FFD1AE" w14:textId="639BBED5" w:rsidR="00081254" w:rsidRDefault="00081254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8F4E2AB" w14:textId="77777777" w:rsidR="006F3690" w:rsidRDefault="006F3690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90D40AA" w14:textId="487D9191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1BD0F5A7" w:rsidR="00081254" w:rsidRPr="00081254" w:rsidRDefault="00081254" w:rsidP="00A6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A67ED4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Continuous monitoring and coordination with the DSWD Provincial Extension Office of the 7 provinces relative to the status of their respective area.</w:t>
            </w:r>
          </w:p>
          <w:p w14:paraId="278D37FC" w14:textId="77777777" w:rsidR="00A67ED4" w:rsidRDefault="0008125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Continuous monitoring of the existing Evacuation Center in the Province of Bulacan, Pampanga, Zambales and Tarlac.</w:t>
            </w:r>
            <w:r w:rsidR="00A67ED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7123C14" w14:textId="4EBB66DE" w:rsidR="00A67ED4" w:rsidRPr="00A67ED4" w:rsidRDefault="00A67ED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7ED4">
              <w:rPr>
                <w:rFonts w:ascii="Arial" w:hAnsi="Arial" w:cs="Arial"/>
                <w:color w:val="0070C0"/>
                <w:sz w:val="20"/>
                <w:szCs w:val="20"/>
              </w:rPr>
              <w:t>For hauling on August 13, 2018, of the remaining 140 Hygiene Kit in the municipality of Abucay, Bataan.</w:t>
            </w:r>
          </w:p>
        </w:tc>
      </w:tr>
    </w:tbl>
    <w:p w14:paraId="2BC02C38" w14:textId="77777777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6D1E63" w14:textId="63CB8E0F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CAR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B91E0F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5E8F6844" w:rsidR="007F47BE" w:rsidRPr="007F47BE" w:rsidRDefault="007F47BE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95515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FO CAR in synchronized with Cordillera RDRRMC BLUE Alert Status</w:t>
            </w:r>
          </w:p>
          <w:p w14:paraId="5B1C6D9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DReMD Skeletal duty is activated to conduct coordination to P/C/MSWDOs and LDRRMOs and also validation and verification on the reported affected families</w:t>
            </w:r>
          </w:p>
          <w:p w14:paraId="6CA5B9A9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DROMIC staff is continuously coordinating with Cordillera RDRRMC EOC for report updates and sending DROMIC reports to DROMIC CO. </w:t>
            </w:r>
          </w:p>
          <w:p w14:paraId="2CD066E1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On-going verification on the report of Bangued MDRRMO that there were 4 houses submerged at above knee level at Bariquir Zone5 at around 5:10pm on August 11, 2018.</w:t>
            </w:r>
          </w:p>
        </w:tc>
      </w:tr>
    </w:tbl>
    <w:p w14:paraId="2038E378" w14:textId="27EA0A67" w:rsidR="007F47BE" w:rsidRDefault="007F47BE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89DD53A" w14:textId="77777777" w:rsidR="002E6FC5" w:rsidRDefault="002E6FC5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32BB1794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FO 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B91E0F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151D99D" w:rsidR="007F47BE" w:rsidRPr="00955150" w:rsidRDefault="00955150" w:rsidP="00955150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A</w:t>
            </w:r>
            <w:r w:rsidR="007F47BE" w:rsidRPr="00955150">
              <w:rPr>
                <w:rFonts w:ascii="Arial" w:hAnsi="Arial" w:cs="Arial"/>
                <w:color w:val="0070C0"/>
                <w:sz w:val="20"/>
                <w:szCs w:val="24"/>
              </w:rPr>
              <w:t>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Affected LGUs are conducting Relief efforts and provision of hot meals for residents of areas affected by the southwest monsoon.</w:t>
            </w:r>
          </w:p>
          <w:p w14:paraId="57441CC9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The affected LGUs mobilized their staff in their operational areas to strengthen the government’s emergency response coordination.</w:t>
            </w:r>
          </w:p>
          <w:p w14:paraId="3BB1F2DC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MSWDOs of are conducting profiling of the families that sought temporary shelter in the Evacuation Centers. The MSWDOs prioritized the provision of Hot Meals as immediate response.</w:t>
            </w:r>
          </w:p>
          <w:p w14:paraId="67E818B5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MSWDOs of the affected LGUs mobilized there trained  personnel on CCCM, PSP and  Information Management</w:t>
            </w:r>
          </w:p>
          <w:p w14:paraId="60A51CE2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maintains close coordination with the MSWDOs of the LGUs with reported evacuation centers.</w:t>
            </w:r>
          </w:p>
          <w:p w14:paraId="3761F812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The Disaster Response Management Division (DRMD) is closely the Relief Operations being conducted by the LGUs.</w:t>
            </w:r>
          </w:p>
          <w:p w14:paraId="6340F76D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continues to send rainfall warnings and flood advisories through SMS and other media platforms to MSWDOs that are prone to flood and landslide.</w:t>
            </w:r>
          </w:p>
          <w:p w14:paraId="266015BD" w14:textId="7B72B0E5" w:rsidR="007F47BE" w:rsidRP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closely monitoring the progress of the Response Activities of the affected LGUs.</w:t>
            </w:r>
          </w:p>
        </w:tc>
      </w:tr>
    </w:tbl>
    <w:p w14:paraId="071594BC" w14:textId="445438D6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6F5ECC4F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F3ADD57" w14:textId="5D2F8DBC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45D4822" w14:textId="77777777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77777777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MAPET BULAWAN</w:t>
      </w:r>
    </w:p>
    <w:p w14:paraId="3BF8685A" w14:textId="45A63955" w:rsidR="00081254" w:rsidRPr="00081254" w:rsidRDefault="00194F97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 Officer</w:t>
      </w:r>
      <w:bookmarkStart w:id="3" w:name="_GoBack"/>
      <w:bookmarkEnd w:id="3"/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C2CB" w14:textId="77777777" w:rsidR="0063356E" w:rsidRDefault="0063356E">
      <w:pPr>
        <w:spacing w:after="0" w:line="240" w:lineRule="auto"/>
      </w:pPr>
      <w:r>
        <w:separator/>
      </w:r>
    </w:p>
  </w:endnote>
  <w:endnote w:type="continuationSeparator" w:id="0">
    <w:p w14:paraId="5B1E3A07" w14:textId="77777777" w:rsidR="0063356E" w:rsidRDefault="006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793C20" w:rsidRDefault="00793C2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5923AF9" w:rsidR="00793C20" w:rsidRPr="00715A58" w:rsidRDefault="00793C20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90205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90205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>2</w:t>
    </w:r>
    <w:r w:rsidRPr="006818D9">
      <w:rPr>
        <w:sz w:val="16"/>
        <w:szCs w:val="16"/>
      </w:rPr>
      <w:t xml:space="preserve"> on the Effects of Southwest Monsoo</w:t>
    </w:r>
    <w:r>
      <w:rPr>
        <w:sz w:val="16"/>
        <w:szCs w:val="16"/>
      </w:rPr>
      <w:t xml:space="preserve">n as of 13 August 2018, </w:t>
    </w:r>
    <w:r w:rsidR="00090205">
      <w:rPr>
        <w:sz w:val="16"/>
        <w:szCs w:val="16"/>
      </w:rPr>
      <w:t>6</w:t>
    </w:r>
    <w:r>
      <w:rPr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5352" w14:textId="77777777" w:rsidR="0063356E" w:rsidRDefault="0063356E">
      <w:pPr>
        <w:spacing w:after="0" w:line="240" w:lineRule="auto"/>
      </w:pPr>
      <w:r>
        <w:separator/>
      </w:r>
    </w:p>
  </w:footnote>
  <w:footnote w:type="continuationSeparator" w:id="0">
    <w:p w14:paraId="2DF85BDE" w14:textId="77777777" w:rsidR="0063356E" w:rsidRDefault="006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793C20" w:rsidRDefault="00793C2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93C20" w:rsidRDefault="00793C2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93C20" w:rsidRDefault="00793C2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93C20" w:rsidRPr="000A409D" w:rsidRDefault="00793C20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15"/>
  </w:num>
  <w:num w:numId="9">
    <w:abstractNumId w:val="23"/>
  </w:num>
  <w:num w:numId="10">
    <w:abstractNumId w:val="9"/>
  </w:num>
  <w:num w:numId="11">
    <w:abstractNumId w:val="24"/>
  </w:num>
  <w:num w:numId="12">
    <w:abstractNumId w:val="12"/>
  </w:num>
  <w:num w:numId="13">
    <w:abstractNumId w:val="3"/>
  </w:num>
  <w:num w:numId="14">
    <w:abstractNumId w:val="0"/>
  </w:num>
  <w:num w:numId="15">
    <w:abstractNumId w:val="22"/>
  </w:num>
  <w:num w:numId="16">
    <w:abstractNumId w:val="33"/>
  </w:num>
  <w:num w:numId="17">
    <w:abstractNumId w:val="13"/>
  </w:num>
  <w:num w:numId="18">
    <w:abstractNumId w:val="18"/>
  </w:num>
  <w:num w:numId="19">
    <w:abstractNumId w:val="20"/>
  </w:num>
  <w:num w:numId="20">
    <w:abstractNumId w:val="25"/>
  </w:num>
  <w:num w:numId="21">
    <w:abstractNumId w:val="1"/>
  </w:num>
  <w:num w:numId="22">
    <w:abstractNumId w:val="31"/>
  </w:num>
  <w:num w:numId="23">
    <w:abstractNumId w:val="28"/>
  </w:num>
  <w:num w:numId="24">
    <w:abstractNumId w:val="26"/>
  </w:num>
  <w:num w:numId="25">
    <w:abstractNumId w:val="16"/>
  </w:num>
  <w:num w:numId="26">
    <w:abstractNumId w:val="10"/>
  </w:num>
  <w:num w:numId="27">
    <w:abstractNumId w:val="35"/>
  </w:num>
  <w:num w:numId="28">
    <w:abstractNumId w:val="32"/>
  </w:num>
  <w:num w:numId="29">
    <w:abstractNumId w:val="11"/>
  </w:num>
  <w:num w:numId="30">
    <w:abstractNumId w:val="5"/>
  </w:num>
  <w:num w:numId="31">
    <w:abstractNumId w:val="2"/>
  </w:num>
  <w:num w:numId="32">
    <w:abstractNumId w:val="30"/>
  </w:num>
  <w:num w:numId="33">
    <w:abstractNumId w:val="4"/>
  </w:num>
  <w:num w:numId="34">
    <w:abstractNumId w:val="17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382B"/>
    <w:rsid w:val="009240B4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E98E-FB38-447E-BDF1-D4D2167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Maria Perpetua P. Bulawan</cp:lastModifiedBy>
  <cp:revision>12</cp:revision>
  <cp:lastPrinted>2018-08-12T20:05:00Z</cp:lastPrinted>
  <dcterms:created xsi:type="dcterms:W3CDTF">2018-08-12T16:46:00Z</dcterms:created>
  <dcterms:modified xsi:type="dcterms:W3CDTF">2018-08-13T00:53:00Z</dcterms:modified>
</cp:coreProperties>
</file>