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57362F">
        <w:rPr>
          <w:rFonts w:ascii="Arial" w:eastAsia="Arial" w:hAnsi="Arial" w:cs="Arial"/>
          <w:b/>
          <w:sz w:val="32"/>
          <w:szCs w:val="24"/>
        </w:rPr>
        <w:t>2</w:t>
      </w:r>
      <w:r w:rsidR="008D7289">
        <w:rPr>
          <w:rFonts w:ascii="Arial" w:eastAsia="Arial" w:hAnsi="Arial" w:cs="Arial"/>
          <w:b/>
          <w:sz w:val="32"/>
          <w:szCs w:val="24"/>
        </w:rPr>
        <w:t>4</w:t>
      </w:r>
    </w:p>
    <w:p w:rsidR="00155355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3E1229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3E122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3E122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425A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AE7FAD">
        <w:rPr>
          <w:rFonts w:ascii="Arial" w:eastAsia="Arial" w:hAnsi="Arial" w:cs="Arial"/>
          <w:sz w:val="24"/>
          <w:szCs w:val="24"/>
        </w:rPr>
        <w:t>1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="00D37CC0">
        <w:rPr>
          <w:rFonts w:ascii="Arial" w:eastAsia="Arial" w:hAnsi="Arial" w:cs="Arial"/>
          <w:sz w:val="24"/>
          <w:szCs w:val="24"/>
        </w:rPr>
        <w:t>3</w:t>
      </w:r>
      <w:r w:rsidR="008D7289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9425A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9425A3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66075" w:rsidRPr="00F66075">
        <w:rPr>
          <w:rFonts w:ascii="Arial" w:eastAsia="Arial" w:hAnsi="Arial" w:cs="Arial"/>
          <w:b/>
          <w:color w:val="0070C0"/>
          <w:sz w:val="24"/>
          <w:szCs w:val="24"/>
        </w:rPr>
        <w:t>399,113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66075" w:rsidRPr="00F66075">
        <w:rPr>
          <w:rFonts w:ascii="Arial" w:eastAsia="Arial" w:hAnsi="Arial" w:cs="Arial"/>
          <w:b/>
          <w:color w:val="0070C0"/>
          <w:sz w:val="24"/>
          <w:szCs w:val="24"/>
        </w:rPr>
        <w:t>1,679,108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6075" w:rsidRPr="00F66075">
        <w:rPr>
          <w:rFonts w:ascii="Arial" w:eastAsia="Arial" w:hAnsi="Arial" w:cs="Arial"/>
          <w:b/>
          <w:color w:val="0070C0"/>
          <w:sz w:val="24"/>
          <w:szCs w:val="24"/>
        </w:rPr>
        <w:t>4,541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F6607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4710"/>
        <w:gridCol w:w="1918"/>
        <w:gridCol w:w="3195"/>
        <w:gridCol w:w="1701"/>
        <w:gridCol w:w="1609"/>
        <w:gridCol w:w="1687"/>
      </w:tblGrid>
      <w:tr w:rsidR="00F66075" w:rsidRPr="00F66075" w:rsidTr="00F66075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399,113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1,679,108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1,368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125,957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544,044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66,763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260,316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144,073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620,806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66075" w:rsidRPr="00F66075" w:rsidTr="00F6607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F66075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45,764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075" w:rsidRPr="00F66075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66075" w:rsidRPr="00F6607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184,966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446510" w:rsidRPr="005B6532" w:rsidRDefault="004F40A2" w:rsidP="009425A3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3E1229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Pr="005B6532" w:rsidRDefault="005B6532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3E1229" w:rsidRDefault="003E1229" w:rsidP="009425A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1233"/>
        <w:gridCol w:w="696"/>
        <w:gridCol w:w="687"/>
        <w:gridCol w:w="779"/>
        <w:gridCol w:w="610"/>
        <w:gridCol w:w="779"/>
        <w:gridCol w:w="696"/>
        <w:gridCol w:w="859"/>
        <w:gridCol w:w="850"/>
        <w:gridCol w:w="696"/>
        <w:gridCol w:w="696"/>
        <w:gridCol w:w="785"/>
        <w:gridCol w:w="702"/>
        <w:gridCol w:w="865"/>
        <w:gridCol w:w="856"/>
        <w:gridCol w:w="780"/>
        <w:gridCol w:w="697"/>
        <w:gridCol w:w="786"/>
        <w:gridCol w:w="774"/>
      </w:tblGrid>
      <w:tr w:rsidR="003E1229" w:rsidRPr="003E1229" w:rsidTr="003E1229">
        <w:trPr>
          <w:trHeight w:val="20"/>
          <w:tblHeader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REGION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NUMBER OF EVACUATION CENTERS (ECs) </w:t>
            </w:r>
          </w:p>
        </w:tc>
        <w:tc>
          <w:tcPr>
            <w:tcW w:w="9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INSIDE ECs 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INSIDE ECs Returned Home </w:t>
            </w:r>
          </w:p>
        </w:tc>
        <w:tc>
          <w:tcPr>
            <w:tcW w:w="9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OUTSIDE ECs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OUTSIDE ECs Returned Home </w:t>
            </w:r>
          </w:p>
        </w:tc>
        <w:tc>
          <w:tcPr>
            <w:tcW w:w="10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TOTAL SERVED </w:t>
            </w:r>
          </w:p>
        </w:tc>
      </w:tr>
      <w:tr w:rsidR="003E1229" w:rsidRPr="003E1229" w:rsidTr="003E1229">
        <w:trPr>
          <w:trHeight w:val="20"/>
          <w:tblHeader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99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9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Families 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Persons </w:t>
            </w:r>
          </w:p>
        </w:tc>
      </w:tr>
      <w:tr w:rsidR="003E1229" w:rsidRPr="003E1229" w:rsidTr="003E1229">
        <w:trPr>
          <w:trHeight w:val="20"/>
          <w:tblHeader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47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Families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Persons 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Families 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Persons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Families 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Persons 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Families 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Persons 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Total Families 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Total Persons </w:t>
            </w:r>
          </w:p>
        </w:tc>
      </w:tr>
      <w:tr w:rsidR="003E1229" w:rsidRPr="003E1229" w:rsidTr="003E1229">
        <w:trPr>
          <w:trHeight w:val="20"/>
          <w:tblHeader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NOW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NOW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NOW 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NOW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NOW 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NOW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CUM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</w:rPr>
              <w:t xml:space="preserve"> NOW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GRAND TOTAL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3,341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302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107,884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9,844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409,269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37,558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98,040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371,711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68,505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17,375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292,864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70,251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51,130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222,613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176,410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27,235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702,220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108,004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NCR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6,620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29,885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6,620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29,885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29,885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REGION 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553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117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17,649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4,216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67,258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17,040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13,433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50,218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16,479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11,158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66,596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43,112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5,321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23,484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34,128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15,374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133,854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60,279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REGION II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1,213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43,071 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70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159,114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227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43,001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158,887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23,656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132 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101,166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621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23,524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100,545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66,727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202 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260,280 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848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REGION III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21,922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2,868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82,521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10,325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19,054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72,196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22,617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4,341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102,067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19,317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18,276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82,750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44,539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7,209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184,588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29,642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CALABARZON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8,013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31,676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192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7,974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31,484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8,013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39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31,676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192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MIMAROPA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1,801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7,018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1,801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7,018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24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104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1,825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7,122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- </w:t>
            </w:r>
          </w:p>
        </w:tc>
      </w:tr>
      <w:tr w:rsidR="003E1229" w:rsidRPr="003E1229" w:rsidTr="003E1229">
        <w:trPr>
          <w:trHeight w:val="2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lastRenderedPageBreak/>
              <w:t>CAR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456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109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8,808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2,651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31,797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9,774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6,157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22,023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5,729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1,744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22,931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7,201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3,985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15,730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14,558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4,411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54,815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29" w:rsidRPr="003E1229" w:rsidRDefault="003E1229" w:rsidP="003E122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3E1229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 xml:space="preserve"> 17,043 </w:t>
            </w:r>
          </w:p>
        </w:tc>
      </w:tr>
    </w:tbl>
    <w:p w:rsidR="004947BF" w:rsidRPr="005B6532" w:rsidRDefault="005B6532" w:rsidP="003E1229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B6532" w:rsidRPr="005B6532" w:rsidRDefault="003E1229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5B6532" w:rsidRDefault="005B6532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425A3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9425A3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3E1229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9425A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425A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3E1229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9425A3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9425A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6E37" w:rsidRPr="005B6532">
        <w:rPr>
          <w:rFonts w:ascii="Arial" w:eastAsia="Arial" w:hAnsi="Arial" w:cs="Arial"/>
          <w:b/>
          <w:color w:val="auto"/>
          <w:sz w:val="24"/>
          <w:szCs w:val="24"/>
        </w:rPr>
        <w:t>Non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-Food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9425A3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Pr="006D0DC6" w:rsidRDefault="00D771C7" w:rsidP="009425A3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D0DC6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6D0DC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43F62" w:rsidRPr="006D0DC6">
        <w:rPr>
          <w:rFonts w:ascii="Arial" w:eastAsia="Arial Narrow" w:hAnsi="Arial" w:cs="Arial"/>
          <w:b/>
          <w:color w:val="auto"/>
          <w:sz w:val="24"/>
          <w:szCs w:val="24"/>
        </w:rPr>
        <w:t>87,218,205.25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C43F62" w:rsidRPr="006D0DC6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415ADB" w:rsidRPr="006D0DC6">
        <w:rPr>
          <w:rFonts w:ascii="Arial" w:eastAsia="Arial Narrow" w:hAnsi="Arial" w:cs="Arial"/>
          <w:color w:val="auto"/>
          <w:sz w:val="24"/>
          <w:szCs w:val="24"/>
        </w:rPr>
        <w:t>CALABARZON</w:t>
      </w:r>
      <w:r w:rsidRPr="006D0DC6">
        <w:rPr>
          <w:rFonts w:ascii="Arial" w:eastAsia="Arial Narrow" w:hAnsi="Arial" w:cs="Arial"/>
          <w:color w:val="auto"/>
          <w:sz w:val="24"/>
          <w:szCs w:val="24"/>
        </w:rPr>
        <w:t>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10183"/>
        <w:gridCol w:w="1850"/>
        <w:gridCol w:w="2510"/>
      </w:tblGrid>
      <w:tr w:rsidR="00415ADB" w:rsidRPr="00415ADB" w:rsidTr="00415ADB">
        <w:trPr>
          <w:trHeight w:val="20"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415ADB" w:rsidRPr="00415ADB" w:rsidTr="00415AD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31,428,000.00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31,428,000.00</w:t>
            </w:r>
          </w:p>
        </w:tc>
      </w:tr>
      <w:tr w:rsidR="00415ADB" w:rsidRPr="00415ADB" w:rsidTr="00415AD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ADB" w:rsidRPr="00415ADB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10,375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23,862,500.00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11,702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20,920,250.50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5ADB" w:rsidRPr="00415AD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15ADB" w:rsidRPr="00415ADB">
              <w:rPr>
                <w:rFonts w:ascii="Arial" w:eastAsia="Times New Roman" w:hAnsi="Arial" w:cs="Arial"/>
                <w:sz w:val="20"/>
                <w:szCs w:val="20"/>
              </w:rPr>
              <w:t>11,821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8,957,362.75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5ADB">
              <w:rPr>
                <w:rFonts w:ascii="Arial" w:eastAsia="Times New Roman" w:hAnsi="Arial" w:cs="Arial"/>
                <w:sz w:val="20"/>
                <w:szCs w:val="20"/>
              </w:rPr>
              <w:t>TEW,PP</w:t>
            </w:r>
            <w:proofErr w:type="gramEnd"/>
            <w:r w:rsidRPr="00415ADB">
              <w:rPr>
                <w:rFonts w:ascii="Arial" w:eastAsia="Times New Roman" w:hAnsi="Arial" w:cs="Arial"/>
                <w:sz w:val="20"/>
                <w:szCs w:val="20"/>
              </w:rPr>
              <w:t>/PE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415ADB" w:rsidRPr="00415ADB" w:rsidTr="00415ADB">
        <w:trPr>
          <w:trHeight w:val="20"/>
        </w:trPr>
        <w:tc>
          <w:tcPr>
            <w:tcW w:w="3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163,549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55,790,205.25</w:t>
            </w:r>
          </w:p>
        </w:tc>
      </w:tr>
      <w:tr w:rsidR="00415ADB" w:rsidRPr="00415ADB" w:rsidTr="00415ADB">
        <w:trPr>
          <w:trHeight w:val="20"/>
        </w:trPr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15ADB" w:rsidRPr="00415ADB" w:rsidRDefault="00415AD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5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87,218,205.25</w:t>
            </w:r>
          </w:p>
        </w:tc>
      </w:tr>
    </w:tbl>
    <w:p w:rsidR="007643EE" w:rsidRDefault="007643EE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6D0DC6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6D0DC6" w:rsidRDefault="00D8793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6D0DC6" w:rsidRPr="006D0DC6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11-21,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hAnsi="Arial" w:cs="Arial"/>
                <w:b/>
                <w:bCs/>
                <w:sz w:val="20"/>
                <w:szCs w:val="20"/>
              </w:rPr>
              <w:t>21,099</w:t>
            </w:r>
            <w:r w:rsidR="003E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DC6" w:rsidRPr="006D0DC6" w:rsidRDefault="006D0DC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hAnsi="Arial" w:cs="Arial"/>
                <w:b/>
                <w:bCs/>
                <w:sz w:val="20"/>
                <w:szCs w:val="20"/>
              </w:rPr>
              <w:t>1,054,950</w:t>
            </w:r>
            <w:r w:rsidR="003E1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DC6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6D0DC6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6D0DC6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6D0DC6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6D0DC6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6D0DC6" w:rsidRDefault="007A2468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B25319" w:rsidRPr="005B6532" w:rsidRDefault="00B25319" w:rsidP="009425A3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9425A3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43F62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17,982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43F62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6,473,520</w:t>
            </w:r>
            <w:r w:rsidR="004947B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UPDATES: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042"/>
        <w:gridCol w:w="2583"/>
        <w:gridCol w:w="3492"/>
        <w:gridCol w:w="3426"/>
      </w:tblGrid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1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Trinidad,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Benguet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PP/PE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Tarlac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CALABARZON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GMA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Cavite,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Warehouse</w:t>
            </w:r>
          </w:p>
        </w:tc>
      </w:tr>
      <w:tr w:rsidR="00F03AFB" w:rsidRPr="00F03AFB" w:rsidTr="00F03AFB">
        <w:trPr>
          <w:trHeight w:val="20"/>
        </w:trPr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E53351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F03AFB" w:rsidRPr="00F03AFB">
              <w:rPr>
                <w:rFonts w:ascii="Arial" w:eastAsia="Times New Roman" w:hAnsi="Arial" w:cs="Arial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AFB" w:rsidRPr="00F03AFB" w:rsidRDefault="00F03AFB" w:rsidP="004B1E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Fernando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3AFB">
              <w:rPr>
                <w:rFonts w:ascii="Arial" w:eastAsia="Times New Roman" w:hAnsi="Arial" w:cs="Arial"/>
                <w:sz w:val="20"/>
                <w:szCs w:val="20"/>
              </w:rPr>
              <w:t>Pampanga</w:t>
            </w:r>
          </w:p>
        </w:tc>
      </w:tr>
    </w:tbl>
    <w:p w:rsidR="00535002" w:rsidRPr="004109A5" w:rsidRDefault="00535002" w:rsidP="009425A3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9425A3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28"/>
        <w:gridCol w:w="3572"/>
        <w:gridCol w:w="3508"/>
      </w:tblGrid>
      <w:tr w:rsidR="00526E37" w:rsidRPr="00526E37" w:rsidTr="00526E37">
        <w:trPr>
          <w:trHeight w:val="20"/>
          <w:tblHeader/>
        </w:trPr>
        <w:tc>
          <w:tcPr>
            <w:tcW w:w="975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1591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Organization</w:t>
            </w:r>
          </w:p>
        </w:tc>
        <w:tc>
          <w:tcPr>
            <w:tcW w:w="1228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Pax</w:t>
            </w:r>
          </w:p>
        </w:tc>
        <w:tc>
          <w:tcPr>
            <w:tcW w:w="1206" w:type="pct"/>
            <w:shd w:val="clear" w:color="auto" w:fill="7F7F7F" w:themeFill="text1" w:themeFillTint="80"/>
            <w:noWrap/>
            <w:vAlign w:val="center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Sorting,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Inspection,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Cleaning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(SPD)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PPSC-PNP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(NCR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TC)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MGCI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CCWF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(Citizens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Crime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Force)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PIA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Philippined</w:t>
            </w:r>
            <w:proofErr w:type="spellEnd"/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Agency)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Road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Walk-ins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Regular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6E37">
              <w:rPr>
                <w:rFonts w:ascii="Arial" w:eastAsia="Times New Roman" w:hAnsi="Arial" w:cs="Arial"/>
                <w:sz w:val="20"/>
                <w:szCs w:val="20"/>
              </w:rPr>
              <w:t>Philam</w:t>
            </w:r>
            <w:proofErr w:type="spellEnd"/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Foundation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526E37" w:rsidRPr="00526E37" w:rsidTr="00526E37">
        <w:trPr>
          <w:trHeight w:val="2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591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Adventist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College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Manila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06" w:type="pct"/>
            <w:shd w:val="clear" w:color="auto" w:fill="auto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sz w:val="20"/>
                <w:szCs w:val="20"/>
              </w:rPr>
              <w:t>inspection</w:t>
            </w:r>
          </w:p>
        </w:tc>
      </w:tr>
      <w:tr w:rsidR="00526E37" w:rsidRPr="00526E37" w:rsidTr="00526E37">
        <w:trPr>
          <w:trHeight w:val="20"/>
        </w:trPr>
        <w:tc>
          <w:tcPr>
            <w:tcW w:w="256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228" w:type="pct"/>
            <w:shd w:val="clear" w:color="auto" w:fill="D9D9D9" w:themeFill="background1" w:themeFillShade="D9"/>
            <w:noWrap/>
            <w:vAlign w:val="bottom"/>
            <w:hideMark/>
          </w:tcPr>
          <w:p w:rsidR="00526E37" w:rsidRPr="00526E37" w:rsidRDefault="00526E37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6E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206" w:type="pct"/>
            <w:shd w:val="clear" w:color="auto" w:fill="D9D9D9" w:themeFill="background1" w:themeFillShade="D9"/>
            <w:noWrap/>
            <w:vAlign w:val="bottom"/>
            <w:hideMark/>
          </w:tcPr>
          <w:p w:rsidR="00526E37" w:rsidRPr="00526E37" w:rsidRDefault="003E1229" w:rsidP="009425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36203" w:rsidRPr="005B6532" w:rsidRDefault="00C36203" w:rsidP="009425A3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9425A3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-FO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C.O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3E122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(total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C.O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FOs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>)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9425A3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9425A3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Default="00D3641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>49,1</w:t>
      </w:r>
      <w:r w:rsidR="00684A1D">
        <w:rPr>
          <w:rFonts w:ascii="Arial" w:eastAsia="Arial" w:hAnsi="Arial" w:cs="Arial"/>
          <w:b/>
          <w:color w:val="0070C0"/>
          <w:sz w:val="24"/>
          <w:szCs w:val="24"/>
        </w:rPr>
        <w:t>03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>3,86</w:t>
      </w:r>
      <w:r w:rsidR="00684A1D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A1D" w:rsidRPr="00684A1D">
        <w:rPr>
          <w:rFonts w:ascii="Arial" w:eastAsia="Arial" w:hAnsi="Arial" w:cs="Arial"/>
          <w:b/>
          <w:color w:val="0070C0"/>
          <w:sz w:val="24"/>
          <w:szCs w:val="24"/>
        </w:rPr>
        <w:t>45,243</w:t>
      </w:r>
      <w:r w:rsidR="00684A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52" w:type="pct"/>
        <w:tblInd w:w="421" w:type="dxa"/>
        <w:tblLook w:val="04A0" w:firstRow="1" w:lastRow="0" w:firstColumn="1" w:lastColumn="0" w:noHBand="0" w:noVBand="1"/>
      </w:tblPr>
      <w:tblGrid>
        <w:gridCol w:w="284"/>
        <w:gridCol w:w="6947"/>
        <w:gridCol w:w="1783"/>
        <w:gridCol w:w="2795"/>
        <w:gridCol w:w="3124"/>
      </w:tblGrid>
      <w:tr w:rsidR="003173A9" w:rsidRPr="003173A9" w:rsidTr="00684A1D">
        <w:trPr>
          <w:trHeight w:val="20"/>
          <w:tblHeader/>
        </w:trPr>
        <w:tc>
          <w:tcPr>
            <w:tcW w:w="24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3173A9" w:rsidRPr="003173A9" w:rsidTr="00684A1D">
        <w:trPr>
          <w:trHeight w:val="20"/>
          <w:tblHeader/>
        </w:trPr>
        <w:tc>
          <w:tcPr>
            <w:tcW w:w="24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49,103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3,860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bookmarkStart w:id="4" w:name="_Hlk525305552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45,243</w:t>
            </w:r>
            <w:bookmarkEnd w:id="4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8,823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521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8,302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2,714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2,469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 xml:space="preserve">   2,714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 xml:space="preserve">               245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 xml:space="preserve">               2,469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3,835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102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3,733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1,460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201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199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142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403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393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568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4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1,725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121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1,604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514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420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988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979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159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29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549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53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496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 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13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26,047 </w:t>
            </w:r>
          </w:p>
        </w:tc>
        <w:tc>
          <w:tcPr>
            <w:tcW w:w="9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2,636 </w:t>
            </w:r>
          </w:p>
        </w:tc>
        <w:tc>
          <w:tcPr>
            <w:tcW w:w="10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23,411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22,347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2,452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19,895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13,610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1,882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11,728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8,237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3,334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167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3,167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138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1,293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1,218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1,236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1,172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389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761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12,940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628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12,312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7,349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267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7,082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1,670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148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1,522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768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1,551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1,545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712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476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170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2,057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2,044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1,863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1,855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10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1,040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241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799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 xml:space="preserve">        11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175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20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585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290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1,668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1,594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167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31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853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819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232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229 </w:t>
            </w:r>
          </w:p>
        </w:tc>
      </w:tr>
      <w:tr w:rsidR="003173A9" w:rsidRPr="003173A9" w:rsidTr="00684A1D">
        <w:trPr>
          <w:trHeight w:val="20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221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208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102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46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34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9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</w:tr>
      <w:tr w:rsidR="003173A9" w:rsidRPr="003173A9" w:rsidTr="00684A1D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173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3A9" w:rsidRPr="003173A9" w:rsidRDefault="003173A9" w:rsidP="003173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173A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</w:tbl>
    <w:p w:rsidR="00BE2A7A" w:rsidRPr="005B6532" w:rsidRDefault="00BE2A7A" w:rsidP="009425A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Default="00BE2A7A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684A1D" w:rsidRPr="005B6532" w:rsidRDefault="00684A1D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42065" w:rsidRPr="00542065">
        <w:rPr>
          <w:rFonts w:ascii="Arial" w:eastAsia="Arial" w:hAnsi="Arial" w:cs="Arial"/>
          <w:b/>
          <w:color w:val="0070C0"/>
          <w:sz w:val="24"/>
          <w:szCs w:val="24"/>
        </w:rPr>
        <w:t xml:space="preserve">61,220,356.85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2F6F8C" w:rsidRPr="000B5915" w:rsidRDefault="002F6F8C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3E122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7899"/>
        <w:gridCol w:w="7062"/>
      </w:tblGrid>
      <w:tr w:rsidR="00684A1D" w:rsidRPr="00684A1D" w:rsidTr="00EB2066">
        <w:trPr>
          <w:trHeight w:val="20"/>
          <w:tblHeader/>
        </w:trPr>
        <w:tc>
          <w:tcPr>
            <w:tcW w:w="2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684A1D" w:rsidRPr="00684A1D" w:rsidTr="00EB2066">
        <w:trPr>
          <w:trHeight w:val="20"/>
          <w:tblHeader/>
        </w:trPr>
        <w:tc>
          <w:tcPr>
            <w:tcW w:w="2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61,220,356.85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2,644,323.90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32,921,133.00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10,817,500.00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5,748,032.60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627,000.00 </w:t>
            </w:r>
          </w:p>
        </w:tc>
      </w:tr>
      <w:tr w:rsidR="00684A1D" w:rsidRPr="00684A1D" w:rsidTr="00684A1D">
        <w:trPr>
          <w:trHeight w:val="20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A1D" w:rsidRPr="00684A1D" w:rsidRDefault="00684A1D" w:rsidP="00684A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84A1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8,462,367.35 </w:t>
            </w:r>
          </w:p>
        </w:tc>
      </w:tr>
    </w:tbl>
    <w:p w:rsidR="00684A1D" w:rsidRDefault="00684A1D" w:rsidP="00684A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84A1D" w:rsidRPr="005B6532" w:rsidRDefault="00684A1D" w:rsidP="00684A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DSWD-Field Offices I, II, III, MIMAROPA, CAR, and NCR</w:t>
      </w:r>
    </w:p>
    <w:p w:rsidR="00026873" w:rsidRPr="005B6532" w:rsidRDefault="00026873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9425A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E01F99" w:rsidRDefault="009E01A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01F99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NROC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2F0CC8" w:rsidRPr="00E01F99">
        <w:rPr>
          <w:rFonts w:ascii="Arial" w:eastAsia="Arial" w:hAnsi="Arial" w:cs="Arial"/>
          <w:b/>
          <w:color w:val="auto"/>
          <w:sz w:val="24"/>
          <w:szCs w:val="24"/>
        </w:rPr>
        <w:t>31,428,000.00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Field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01F99">
        <w:rPr>
          <w:rFonts w:ascii="Arial" w:eastAsia="Arial" w:hAnsi="Arial" w:cs="Arial"/>
          <w:color w:val="auto"/>
          <w:sz w:val="24"/>
          <w:szCs w:val="24"/>
        </w:rPr>
        <w:t>Office</w:t>
      </w:r>
      <w:r w:rsidR="00E01F99">
        <w:rPr>
          <w:rFonts w:ascii="Arial" w:eastAsia="Arial" w:hAnsi="Arial" w:cs="Arial"/>
          <w:color w:val="auto"/>
          <w:sz w:val="24"/>
          <w:szCs w:val="24"/>
        </w:rPr>
        <w:t>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II,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III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843A0" w:rsidRPr="00E01F99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2094"/>
        <w:gridCol w:w="2995"/>
        <w:gridCol w:w="3579"/>
        <w:gridCol w:w="2531"/>
        <w:gridCol w:w="3196"/>
      </w:tblGrid>
      <w:tr w:rsidR="00E01F99" w:rsidRPr="00E01F99" w:rsidTr="00E01F99">
        <w:trPr>
          <w:trHeight w:val="20"/>
        </w:trPr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DSWD-FO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727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1F99" w:rsidRPr="00E01F99" w:rsidTr="00E01F99">
        <w:trPr>
          <w:trHeight w:val="20"/>
        </w:trPr>
        <w:tc>
          <w:tcPr>
            <w:tcW w:w="30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1F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E01F9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87,300</w:t>
            </w:r>
          </w:p>
        </w:tc>
        <w:tc>
          <w:tcPr>
            <w:tcW w:w="11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F99" w:rsidRPr="00E01F99" w:rsidRDefault="003E1229" w:rsidP="00E01F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01F99" w:rsidRPr="00E01F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31,428,000.00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1A8" w:rsidRPr="005B6532" w:rsidRDefault="009E01A8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4250E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9425A3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C44A50" w:rsidRDefault="006843A0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44A50">
        <w:rPr>
          <w:rFonts w:ascii="Arial" w:eastAsia="Arial" w:hAnsi="Arial" w:cs="Arial"/>
          <w:color w:val="auto"/>
          <w:sz w:val="24"/>
          <w:szCs w:val="24"/>
        </w:rPr>
        <w:t>DSWD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NROC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has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3E1229" w:rsidRPr="00DE037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E0378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55,790,205.25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color w:val="auto"/>
          <w:sz w:val="24"/>
          <w:szCs w:val="24"/>
        </w:rPr>
        <w:t>to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44A50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26873" w:rsidRPr="00C44A50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3E1229" w:rsidRPr="00C44A5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3351" w:rsidRPr="00C44A50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Pr="00C44A50">
        <w:rPr>
          <w:rFonts w:ascii="Arial" w:eastAsia="Arial" w:hAnsi="Arial" w:cs="Arial"/>
          <w:color w:val="auto"/>
          <w:sz w:val="24"/>
          <w:szCs w:val="24"/>
        </w:rPr>
        <w:t>.</w:t>
      </w:r>
      <w:r w:rsidR="003E1229" w:rsidRPr="00C44A50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385"/>
        <w:gridCol w:w="2059"/>
        <w:gridCol w:w="5389"/>
        <w:gridCol w:w="2013"/>
        <w:gridCol w:w="2555"/>
      </w:tblGrid>
      <w:tr w:rsidR="004B1E85" w:rsidRPr="005438DD" w:rsidTr="00C44A50">
        <w:trPr>
          <w:trHeight w:val="20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FIELD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DELIVERED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RELIEF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COST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ASSISTANCE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DAFAC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2018-09-13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Sando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TEW,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PP/PE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Bag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Impulse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Sealer,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FS-300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Collapsible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Carrier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Purification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5438DD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Laminated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Sack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2018-09-18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2018-09-12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2018-09-19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2018-09-19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IV-A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Hygiene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Sleeping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Kit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</w:p>
        </w:tc>
      </w:tr>
      <w:tr w:rsidR="005438DD" w:rsidRPr="005438DD" w:rsidTr="00382E99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D" w:rsidRDefault="005438DD" w:rsidP="00FB453F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2018-09-20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Mosquito</w:t>
            </w:r>
            <w:r w:rsidR="003E12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Net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8DD" w:rsidRPr="005438DD" w:rsidRDefault="005438DD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</w:p>
        </w:tc>
      </w:tr>
      <w:tr w:rsidR="004B1E85" w:rsidRPr="005438DD" w:rsidTr="005438DD">
        <w:trPr>
          <w:trHeight w:val="20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NFIs</w:t>
            </w:r>
            <w:r w:rsidR="003E12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Delivered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3E1229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163,549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B1E85" w:rsidRPr="005438DD" w:rsidRDefault="004B1E85" w:rsidP="00FB45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38DD">
              <w:rPr>
                <w:rFonts w:ascii="Arial" w:eastAsia="Times New Roman" w:hAnsi="Arial" w:cs="Arial"/>
                <w:b/>
                <w:sz w:val="20"/>
                <w:szCs w:val="20"/>
              </w:rPr>
              <w:t>55,790,205.25</w:t>
            </w:r>
          </w:p>
        </w:tc>
      </w:tr>
    </w:tbl>
    <w:p w:rsidR="004B1E85" w:rsidRPr="005B6532" w:rsidRDefault="004B1E85" w:rsidP="009425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A54B6" w:rsidRDefault="00DA54B6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7762D" w:rsidRPr="005B6532" w:rsidRDefault="0055167F" w:rsidP="009425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A54B6" w:rsidRPr="00DA54B6">
        <w:rPr>
          <w:rFonts w:ascii="Arial" w:eastAsia="Arial" w:hAnsi="Arial" w:cs="Arial"/>
          <w:b/>
          <w:color w:val="0070C0"/>
          <w:sz w:val="24"/>
          <w:szCs w:val="24"/>
        </w:rPr>
        <w:t xml:space="preserve">16,051,535.93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3E12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A54B6" w:rsidRPr="00DA54B6">
        <w:rPr>
          <w:rFonts w:ascii="Arial" w:eastAsia="Arial" w:hAnsi="Arial" w:cs="Arial"/>
          <w:b/>
          <w:color w:val="0070C0"/>
          <w:sz w:val="24"/>
          <w:szCs w:val="24"/>
        </w:rPr>
        <w:t xml:space="preserve">542,570.00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3E122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55411" w:rsidRPr="00DA54B6">
        <w:rPr>
          <w:rFonts w:ascii="Arial" w:eastAsia="Arial" w:hAnsi="Arial" w:cs="Arial"/>
          <w:b/>
          <w:color w:val="auto"/>
          <w:sz w:val="24"/>
          <w:szCs w:val="24"/>
        </w:rPr>
        <w:t>210,370.00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3E1229" w:rsidRPr="00DA54B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A54B6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3E1229" w:rsidRPr="00DA54B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4;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3E122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9425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3E1229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5212"/>
        <w:gridCol w:w="2740"/>
        <w:gridCol w:w="2153"/>
        <w:gridCol w:w="1987"/>
        <w:gridCol w:w="2734"/>
      </w:tblGrid>
      <w:tr w:rsidR="00DA54B6" w:rsidRPr="00DA54B6" w:rsidTr="00DA54B6">
        <w:trPr>
          <w:trHeight w:val="20"/>
        </w:trPr>
        <w:tc>
          <w:tcPr>
            <w:tcW w:w="1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3C98C5" wp14:editId="76BDC34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3" name="Text Box 103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25C134-AC5D-4121-9DFB-7B77CAA9859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2C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3" o:spid="_x0000_s1026" type="#_x0000_t202" style="position:absolute;margin-left:-13.5pt;margin-top:19.5pt;width:240pt;height:63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DTYbfY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FAB6BE" wp14:editId="7541796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2" name="Text Box 103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75A202-AA46-4F53-A99C-C027ACB6D7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0442" id="Text Box 1032" o:spid="_x0000_s1026" type="#_x0000_t202" style="position:absolute;margin-left:-13.5pt;margin-top:19.5pt;width:240pt;height:63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C14B1U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DB5136" wp14:editId="57C77AE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1" name="Text Box 103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DA73E56-2BEA-4765-A0E7-604C71A21D6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D4D9" id="Text Box 1031" o:spid="_x0000_s1026" type="#_x0000_t202" style="position:absolute;margin-left:-13.5pt;margin-top:19.5pt;width:240pt;height:63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AC3CF1C" wp14:editId="64ED260F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30" name="Text Box 103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4A70EF-5D29-4A43-A516-67B7F13B25A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7946" id="Text Box 1030" o:spid="_x0000_s1026" type="#_x0000_t202" style="position:absolute;margin-left:-13.5pt;margin-top:19.5pt;width:240pt;height:63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ChTa2Y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D9F2D3" wp14:editId="5C457FA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9" name="Text Box 102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9CA7A7-6B7E-46C2-A14B-70F3FAE105B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796B" id="Text Box 1029" o:spid="_x0000_s1026" type="#_x0000_t202" style="position:absolute;margin-left:-13.5pt;margin-top:19.5pt;width:240pt;height:63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3E7B23" wp14:editId="0506CF4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8" name="Text Box 10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8CFF95-CF3E-48AD-B6AA-BD52138003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71165" id="Text Box 1028" o:spid="_x0000_s1026" type="#_x0000_t202" style="position:absolute;margin-left:-13.5pt;margin-top:19.5pt;width:240pt;height:63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NQLkhz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4A7716" wp14:editId="50C76BD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027" name="Text Box 102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B0FF6D-502D-4F78-82A9-2E97288C967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FC879" id="Text Box 1027" o:spid="_x0000_s1026" type="#_x0000_t202" style="position:absolute;margin-left:-13.5pt;margin-top:19.5pt;width:240pt;height:75.75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812A31" wp14:editId="2F3C62C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6" name="Text Box 10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B3BBA1-36C7-43A6-A832-68C5D9AF212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0B7D8" id="Text Box 1026" o:spid="_x0000_s1026" type="#_x0000_t202" style="position:absolute;margin-left:-13.5pt;margin-top:19.5pt;width:240pt;height:63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CuXLiLNAgAA0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A66959" wp14:editId="1D245B3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25" name="Text Box 102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F09364F-AE91-4264-AC44-3F474F1AED1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0522" id="Text Box 1025" o:spid="_x0000_s1026" type="#_x0000_t202" style="position:absolute;margin-left:-13.5pt;margin-top:19.5pt;width:240pt;height:63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A8M8HMwCAADS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REGION</w:t>
            </w:r>
          </w:p>
        </w:tc>
        <w:tc>
          <w:tcPr>
            <w:tcW w:w="32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16,051,535.93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542,570.00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210,370.00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16,804,475.93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2,372,591.68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2,427,261.68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1,845,730.00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150,350.00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1,996,080.00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5,297,320.00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5,805,020.00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DA54B6" w:rsidRPr="00DA54B6" w:rsidTr="00DA54B6">
        <w:trPr>
          <w:trHeight w:val="20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6,529,195.25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32,920.00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7,300.00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4B6" w:rsidRPr="00DA54B6" w:rsidRDefault="00DA54B6" w:rsidP="00DA54B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54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6,569,415.25 </w:t>
            </w:r>
          </w:p>
        </w:tc>
      </w:tr>
    </w:tbl>
    <w:p w:rsidR="00977C6F" w:rsidRDefault="00977C6F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55411" w:rsidRPr="005B6532" w:rsidRDefault="00F55411" w:rsidP="009425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425A3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3E1229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9425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877B4" w:rsidRPr="0005427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05427C" w:rsidRDefault="00B877B4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5427C">
              <w:rPr>
                <w:rFonts w:ascii="Arial" w:hAnsi="Arial" w:cs="Arial"/>
                <w:color w:val="0070C0"/>
                <w:sz w:val="20"/>
                <w:szCs w:val="24"/>
              </w:rPr>
              <w:t xml:space="preserve">September 21, </w:t>
            </w:r>
            <w:bookmarkStart w:id="7" w:name="_GoBack"/>
            <w:bookmarkEnd w:id="7"/>
            <w:r w:rsidRPr="0005427C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7B4" w:rsidRPr="0005427C" w:rsidRDefault="00B877B4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Central Office has deployed two (2) teams to CAR to assist the Field Office </w:t>
            </w:r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the ongoing disaster response operations, particularly along: Camp Coordination and Camp Management, Internally Displaced Persons (IDP) Protection, Food and Non-Food Items, Logistics and Warehouse Management / Donation Concern, Operational Planning for the </w:t>
            </w:r>
            <w:proofErr w:type="spellStart"/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>Itogon</w:t>
            </w:r>
            <w:proofErr w:type="spellEnd"/>
            <w:r w:rsidR="0005427C" w:rsidRPr="0005427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Miners, Emergency Shelter Assistance (ESA) and Cash-for-Work (CFW) as Recovery and Rehabilitation Intervention, and other operational support.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9425A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RETT and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r w:rsidR="00CF286A">
              <w:rPr>
                <w:rFonts w:ascii="Arial" w:eastAsia="Arial" w:hAnsi="Arial" w:cs="Arial"/>
                <w:color w:val="auto"/>
                <w:sz w:val="20"/>
                <w:szCs w:val="24"/>
              </w:rPr>
              <w:t>ilized on 18 September 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2F6F8C" w:rsidRDefault="002F6F8C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425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425A3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6B0D46" w:rsidRDefault="006B0D4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9425A3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3E1229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lastRenderedPageBreak/>
              <w:t>Except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425A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425A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425A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425A3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425A3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425A3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3E122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PAT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425A3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425A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3E12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425A3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3E1229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B0D46" w:rsidRDefault="006B0D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6B0D46">
        <w:trPr>
          <w:trHeight w:val="113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3E1229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3E1229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425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3E122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425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3E122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425A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3E122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9425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425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3E1229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C6F4F" w:rsidRPr="005B6532" w:rsidRDefault="009C6F4F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9C6F4F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3E1229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"/>
        <w:gridCol w:w="7405"/>
        <w:gridCol w:w="2718"/>
        <w:gridCol w:w="2250"/>
        <w:gridCol w:w="2435"/>
      </w:tblGrid>
      <w:tr w:rsidR="00382E99" w:rsidRPr="00382E99" w:rsidTr="00382E99">
        <w:trPr>
          <w:trHeight w:val="20"/>
          <w:tblHeader/>
        </w:trPr>
        <w:tc>
          <w:tcPr>
            <w:tcW w:w="25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  <w:tblHeader/>
        </w:trPr>
        <w:tc>
          <w:tcPr>
            <w:tcW w:w="2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399,113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1,679,108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125,957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544,044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92,463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Baugen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8,996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69,648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324,132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66,763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260,316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41,464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160,597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85,364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20,207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81,159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7,955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144,073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620,806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130,695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F66075">
        <w:trPr>
          <w:trHeight w:val="2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45,764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184,966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21,187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88,323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16,365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15,897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63,125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10,734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3E12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82E99" w:rsidRPr="00382E99" w:rsidTr="00382E99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82E9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82E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E99" w:rsidRPr="00382E99" w:rsidRDefault="003E1229" w:rsidP="00382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82E99" w:rsidRPr="00382E9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D24D0" w:rsidRPr="005B6532" w:rsidRDefault="000B5915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textWrapping" w:clear="all"/>
      </w:r>
    </w:p>
    <w:p w:rsidR="009A529C" w:rsidRPr="005B6532" w:rsidRDefault="009A529C" w:rsidP="009425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F55411" w:rsidRDefault="00F55411" w:rsidP="009425A3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"/>
        <w:gridCol w:w="1266"/>
        <w:gridCol w:w="650"/>
        <w:gridCol w:w="640"/>
        <w:gridCol w:w="809"/>
        <w:gridCol w:w="631"/>
        <w:gridCol w:w="809"/>
        <w:gridCol w:w="723"/>
        <w:gridCol w:w="871"/>
        <w:gridCol w:w="862"/>
        <w:gridCol w:w="720"/>
        <w:gridCol w:w="720"/>
        <w:gridCol w:w="809"/>
        <w:gridCol w:w="720"/>
        <w:gridCol w:w="871"/>
        <w:gridCol w:w="862"/>
        <w:gridCol w:w="809"/>
        <w:gridCol w:w="720"/>
        <w:gridCol w:w="809"/>
        <w:gridCol w:w="813"/>
      </w:tblGrid>
      <w:tr w:rsidR="00945981" w:rsidRPr="00945981" w:rsidTr="00945981">
        <w:trPr>
          <w:trHeight w:val="20"/>
          <w:tblHeader/>
        </w:trPr>
        <w:tc>
          <w:tcPr>
            <w:tcW w:w="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/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PROVINCE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/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MUNICIPALITY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  <w:tblHeader/>
        </w:trPr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  <w:tblHeader/>
        </w:trPr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Families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Persons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Families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Persons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  <w:tblHeader/>
        </w:trPr>
        <w:tc>
          <w:tcPr>
            <w:tcW w:w="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 w:rsidR="003E1229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GRAND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3,341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107,884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9,844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409,269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37,558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98,040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371,711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68,505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17,375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292,864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70,251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51,130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222,613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176,410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27,235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702,220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108,004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29,885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Las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Malabon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Manila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1,483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5,264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1,483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5,264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1,483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5,264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Marikina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18,066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18,066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3,604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18,066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Muntinlupa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1,098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1,098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1,098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Pasig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Quezon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Juan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17,649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4,216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67,258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17,040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13,433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50,218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16,479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11,158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66,596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43,112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5,321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23,484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34,128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15,374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133,854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60,279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Ilocos</w:t>
            </w:r>
            <w:proofErr w:type="spellEnd"/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9,248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9,248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3,548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12,088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1,162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1,162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1,162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BATAC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443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1,364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773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1,108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LAOAG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1,502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1,502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1,502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Nueva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859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878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341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357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1,195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308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369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Nicolas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511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377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Ilocos</w:t>
            </w:r>
            <w:proofErr w:type="spellEnd"/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12,858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12,858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21,313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4,565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20,368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8,123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34,171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Burgos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CANDON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632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1,365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1,365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1,997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Quirino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Angkaki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Emilio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Esteban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Juan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Lapog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Vicente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3,901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Catalina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Lucia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896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VIGAN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1,072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8,246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8,246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8,252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564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1,417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1,417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1,417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FERNANDO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Gabriel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8,907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4,216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36,906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17,040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4,691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19,866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10,978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10,223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42,437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39,327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19,885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14,439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79,343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56,367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ALAMINOS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11,905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11,905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Dagupan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LINGAYEN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Manaoag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Carlos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Fabian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Jacinto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Nicolas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Barbara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Tomas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URDANETA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3,636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43,071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159,114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43,001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158,887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23,656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9459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101,166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23,524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100,545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66,727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260,280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24,019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89,450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23,949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89,223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17,445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71,147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17,313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70,526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41,464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160,597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5,809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23,236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5,809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15,301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62,128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21,110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85,364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1,585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Teresita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2,148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Niño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(Faire)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Tuguegarao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14,708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54,373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14,708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54,373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5,499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26,786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5,499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26,786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20,207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81,159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Benito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Delfin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Albano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(Magsaysay)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Ilagan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Reina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Mercedes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Agustin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Guillermo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Mariano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Pablo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Nueva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Vizcaya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7,679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7,679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2,714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10,517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Alfonso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Castaneda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Bayombong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Dupax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Norte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Dupax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del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7,560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7,560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2,316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Cabarroguis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REGION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21,922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2,868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82,521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10,325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19,054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72,196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22,617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4,341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102,067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19,317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18,276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82,750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44,539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7,209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184,588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29,642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5,780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21,463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5,780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21,463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3,394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12,430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3,394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12,430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33,893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Baler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4,165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15,730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3,845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11,885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9,827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2,851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47,500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12,620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6,976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34,880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13,992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3,812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63,230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16,465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Balagtas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Bigaa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Bulacan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3,845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3,845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Malolos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Miguel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7,909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39,545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Rafael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Nueva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Ecija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20,134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4,957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20,134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12,789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55,228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Cabanatuan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2,853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Gabaldon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Bitulok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&amp;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Sabani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General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Mamerto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General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Tinio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(Papaya)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Palayan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Jose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Leonardo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Rosa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Science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Muñoz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1,375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5,614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3,582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6,099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2,503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Angeles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Fernando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Simon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1,086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Sasmuan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Sexmoan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1,968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1,390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6,937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4,416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2,521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1,389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6,254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6,226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2,772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13,191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10,642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10,803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10,771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3,285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11,107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Iba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Olongapo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Felipe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Marcelino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Narciso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31,676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7,974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31,484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Batangas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Padre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Garcia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Cavite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Calamba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Los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Pablo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Quezon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General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Francisco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(Aurora)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14,956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Rodriguez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Montalban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1,825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7,122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Boac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427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Occidental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1,206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Abra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de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Mamburao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Oriental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Bulalacao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Pedro)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Puerto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Galera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8,808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2,651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31,797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9,774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6,157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22,023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5,729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1,744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22,931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7,201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3,985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15,730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14,558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4,411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54,815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17,043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2,678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2,223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8,741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8,288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3,003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11,419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Bangued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Licuan-Baay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Licuan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Apayao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11,753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3,366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11,753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2,313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2,296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3,984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14,066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Calanasan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Bayag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730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2,362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2,362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578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708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2,940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1,684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Kabugao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1,060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488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1,547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1,601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375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1,976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1,623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1,623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478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1,646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Santa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Marcela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3,503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1,835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6,788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1,969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1,222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4,819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1,750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1,009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7,047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4,029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3,018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3,585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1,622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13,835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5,998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Baguio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Trinidad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3,895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1,706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1,694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1,239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3,161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Alfonso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Lista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Potia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Lagawe</w:t>
            </w:r>
            <w:proofErr w:type="spellEnd"/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2,161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1,993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8,221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7,600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2,414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2,098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2,670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10,635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9,698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Rizal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Liwan</w:t>
            </w:r>
            <w:proofErr w:type="spellEnd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City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of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Tabuk</w:t>
            </w:r>
            <w:r w:rsidR="003E122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2,973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Mountain</w:t>
            </w:r>
            <w:r w:rsidR="003E122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1,699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945981" w:rsidRPr="00945981" w:rsidTr="00945981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945981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proofErr w:type="spellStart"/>
            <w:r w:rsidRPr="0094598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81" w:rsidRPr="00945981" w:rsidRDefault="003E1229" w:rsidP="00F6607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945981" w:rsidRPr="00945981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568A2" w:rsidRPr="005B6532" w:rsidRDefault="004F40A2" w:rsidP="009425A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3E122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3E122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55411" w:rsidRDefault="00F55411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"/>
        <w:gridCol w:w="4808"/>
        <w:gridCol w:w="2114"/>
        <w:gridCol w:w="2114"/>
        <w:gridCol w:w="1810"/>
        <w:gridCol w:w="1810"/>
        <w:gridCol w:w="2355"/>
      </w:tblGrid>
      <w:tr w:rsidR="00D37CC0" w:rsidRPr="00D37CC0" w:rsidTr="00D37CC0">
        <w:trPr>
          <w:trHeight w:val="20"/>
          <w:tblHeader/>
        </w:trPr>
        <w:tc>
          <w:tcPr>
            <w:tcW w:w="16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37CC0" w:rsidRPr="00D37CC0" w:rsidTr="00D37CC0">
        <w:trPr>
          <w:trHeight w:val="20"/>
          <w:tblHeader/>
        </w:trPr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61,220,356.85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16,051,535.93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542,570.00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210,370.00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78,024,832.78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2,644,323.90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192,660.00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2,112,558.40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339,105.50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32,921,133.00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2,372,591.68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1,950.00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52,720.00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35,348,394.68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6,958,757.50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158,300.00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1,950.00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7,119,007.50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PLGU </w:t>
            </w:r>
            <w:proofErr w:type="spellStart"/>
            <w:r w:rsidRPr="00D37CC0">
              <w:rPr>
                <w:rFonts w:ascii="Arial" w:eastAsia="Times New Roman" w:hAnsi="Arial" w:cs="Arial"/>
                <w:sz w:val="20"/>
                <w:szCs w:val="20"/>
              </w:rPr>
              <w:t>Ilocos</w:t>
            </w:r>
            <w:proofErr w:type="spellEnd"/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 Norte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5,303,440.00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5,303,440.00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1,950.00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96,020.00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127,800.00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106,560.00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1,330,957.50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1,330,957.50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1,948,875.00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355,749.68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2,304,624.68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37,750.00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29,999.68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29,999.68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1,588,875.00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12,017,508.00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1,254,446.00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52,720.00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13,324,674.00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6,765,016.00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6,765,016.00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5,200.00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5,200.00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4,408,411.00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4,983,771.00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52,720.00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161,720.00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398,000.00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398,000.00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109,375.00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159,996.00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159,996.00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451,511.00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286,085.00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286,085.00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11,995,992.50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604,096.00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12,600,088.50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6,266,261.25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6,266,261.25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2,561,731.25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2,561,731.25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1,440,000.00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10,817,500.00 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1,845,730.00 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150,350.00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12,813,580.00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5,145,000.00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910,000.00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105,000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-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3,850,000.00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3,850,000.00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1,542,500.00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142,500.00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269,290.00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150,350.00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699,640.00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15,850.00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15,850.00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79,840.00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150,350.00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370,190.00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307,650.00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5,950.00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5,950.00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5,748,032.60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5,297,320.00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507,700.00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11,553,052.60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1,503,951.60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1,188,475.00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2,692,426.60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121,294.00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377,619.84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105,900.00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483,519.84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365,317.76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207,720.00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289,720.00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78,635.00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150,635.00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390,310.00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170,072.00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560,382.00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30,310.00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2,754,120.00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1,719,508.00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4,473,628.00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1,073,875.00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1,320,475.00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126,000.00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108,000.00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350,083.00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304,162.00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896,981.00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488,900.00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1,894,770.00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360,000.00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488,900.00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536,981.00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17,500.00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1,407,786.00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18,800.00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1,444,086.00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17,500.00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332,500.00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332,500.00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18,800.00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185,170.00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5,400.00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179,770.00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627,000.00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292,600.00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41,800.00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334,400.00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167,200.00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83,600.00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8,462,367.35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6,529,195.25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32,920.00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7,300.00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15,031,782.60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3,559,669.50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3,580,001.00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7,139,670.50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1,148,448.00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2,414,496.00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3,562,944.00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31,100.00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31,100.00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33,100.00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33,100.00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24,785.00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24,785.00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22,750.00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22,750.00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4,550.00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4,550.00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54,400.00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519,100.00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19,188.00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42,880.00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62,068.00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1,473,675.00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1,473,675.00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736,837.50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801,837.50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102,336.00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164,480.00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266,816.00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528,325.00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897,480.00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1,425,805.00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224,412.50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224,412.50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224,412.50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224,412.50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164,480.00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180,380.00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15,900.00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275,900.00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15,900.00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15,900.00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473,000.00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488,900.00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1,347,163.70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228,383.00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1,575,546.70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      207,203.00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 xml:space="preserve">        207,203.00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79,950.00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228,383.00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308,333.00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432,265.00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432,265.00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1,998.75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1,998.75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1,879.50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1,879.50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623,867.45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623,867.45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474,035.50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98,503.25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32,200.00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7,300.00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612,038.75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28,382.25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89,003.25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99,915.75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60,621.00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32,200.00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192,736.75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79,724.50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79,724.50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81,169.00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81,169.00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38,960.25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38,960.25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12,792.00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12,792.00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7,300.00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7,300.00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41,973.75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5,175.00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5,175.00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53,704.25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602,403.75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1,720,728.00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2,323,131.75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36,800.00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36,800.00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8,102.50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8,102.50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118,000.00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118,000.00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370,510.00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329,710.00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700,220.00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65,890.00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76,898.00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142,788.00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157,901.25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1,043,320.00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1,201,221.25 </w:t>
            </w:r>
          </w:p>
        </w:tc>
      </w:tr>
      <w:tr w:rsidR="00D37CC0" w:rsidRPr="00D37CC0" w:rsidTr="00D37CC0">
        <w:trPr>
          <w:trHeight w:val="20"/>
        </w:trPr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1,950,769.90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1,955,589.90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9,993.75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124,722.00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124,722.00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1,664,559.00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1,664,559.00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5,596.50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5,596.50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7,595.75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7,595.75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93,572.40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720.00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98,392.40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37,934.75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37,934.75 </w:t>
            </w:r>
          </w:p>
        </w:tc>
      </w:tr>
      <w:tr w:rsidR="00D37CC0" w:rsidRPr="00D37CC0" w:rsidTr="00D37CC0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37CC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6,795.75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CC0" w:rsidRPr="00D37CC0" w:rsidRDefault="00D37CC0" w:rsidP="00D37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37CC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6,795.75 </w:t>
            </w:r>
          </w:p>
        </w:tc>
      </w:tr>
    </w:tbl>
    <w:p w:rsidR="00F55411" w:rsidRDefault="00F55411" w:rsidP="009425A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F55411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8B" w:rsidRDefault="005C138B">
      <w:pPr>
        <w:spacing w:after="0" w:line="240" w:lineRule="auto"/>
      </w:pPr>
      <w:r>
        <w:separator/>
      </w:r>
    </w:p>
  </w:endnote>
  <w:endnote w:type="continuationSeparator" w:id="0">
    <w:p w:rsidR="005C138B" w:rsidRDefault="005C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CC0" w:rsidRPr="00616ED8" w:rsidRDefault="00D37CC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37CC0" w:rsidRPr="00616ED8" w:rsidRDefault="00D37CC0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24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21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3PM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8B" w:rsidRDefault="005C138B">
      <w:pPr>
        <w:spacing w:after="0" w:line="240" w:lineRule="auto"/>
      </w:pPr>
      <w:r>
        <w:separator/>
      </w:r>
    </w:p>
  </w:footnote>
  <w:footnote w:type="continuationSeparator" w:id="0">
    <w:p w:rsidR="005C138B" w:rsidRDefault="005C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CC0" w:rsidRDefault="00D37CC0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CC0" w:rsidRDefault="00D37CC0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7CC0" w:rsidRDefault="00D37CC0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37CC0" w:rsidRPr="006A0C8C" w:rsidRDefault="00D37CC0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4A86"/>
    <w:rsid w:val="0004629C"/>
    <w:rsid w:val="0005427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B5915"/>
    <w:rsid w:val="000C196B"/>
    <w:rsid w:val="000C6019"/>
    <w:rsid w:val="000C6698"/>
    <w:rsid w:val="000D1A9D"/>
    <w:rsid w:val="000E09D8"/>
    <w:rsid w:val="000F0C1A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09DB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681F"/>
    <w:rsid w:val="00197C40"/>
    <w:rsid w:val="001A4CDF"/>
    <w:rsid w:val="001A4E48"/>
    <w:rsid w:val="001A5783"/>
    <w:rsid w:val="001A6809"/>
    <w:rsid w:val="001A7829"/>
    <w:rsid w:val="001B7CFE"/>
    <w:rsid w:val="001C1FDF"/>
    <w:rsid w:val="001D01A8"/>
    <w:rsid w:val="001D2241"/>
    <w:rsid w:val="001D4B3E"/>
    <w:rsid w:val="001D5EC8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5178"/>
    <w:rsid w:val="002F5409"/>
    <w:rsid w:val="002F6F8C"/>
    <w:rsid w:val="002F713F"/>
    <w:rsid w:val="00305764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2E55"/>
    <w:rsid w:val="004134A7"/>
    <w:rsid w:val="00415ADB"/>
    <w:rsid w:val="004222C2"/>
    <w:rsid w:val="004250E7"/>
    <w:rsid w:val="00425689"/>
    <w:rsid w:val="0042628C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7BF"/>
    <w:rsid w:val="00494CC7"/>
    <w:rsid w:val="00495369"/>
    <w:rsid w:val="00496B1A"/>
    <w:rsid w:val="004A28CE"/>
    <w:rsid w:val="004A60EE"/>
    <w:rsid w:val="004B1E85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26E37"/>
    <w:rsid w:val="00530D54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138B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84A1D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0D46"/>
    <w:rsid w:val="006B13D8"/>
    <w:rsid w:val="006B2090"/>
    <w:rsid w:val="006B300B"/>
    <w:rsid w:val="006B30FC"/>
    <w:rsid w:val="006B6490"/>
    <w:rsid w:val="006B6AC1"/>
    <w:rsid w:val="006C3732"/>
    <w:rsid w:val="006C4CAE"/>
    <w:rsid w:val="006D0DC6"/>
    <w:rsid w:val="006D4465"/>
    <w:rsid w:val="006D67C6"/>
    <w:rsid w:val="006E08CA"/>
    <w:rsid w:val="006E1071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ED0"/>
    <w:rsid w:val="007E2A43"/>
    <w:rsid w:val="007E3FE4"/>
    <w:rsid w:val="007E47C5"/>
    <w:rsid w:val="007F2FAD"/>
    <w:rsid w:val="007F49BB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5231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6F4F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A4E2D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4543F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6177"/>
    <w:rsid w:val="00C768F0"/>
    <w:rsid w:val="00C83CAC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286A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C0B44"/>
    <w:rsid w:val="00DC1804"/>
    <w:rsid w:val="00DC45D6"/>
    <w:rsid w:val="00DC616A"/>
    <w:rsid w:val="00DD4048"/>
    <w:rsid w:val="00DE0378"/>
    <w:rsid w:val="00DE2C1A"/>
    <w:rsid w:val="00DE3688"/>
    <w:rsid w:val="00DF3FD0"/>
    <w:rsid w:val="00DF434E"/>
    <w:rsid w:val="00DF5DD6"/>
    <w:rsid w:val="00DF7CFA"/>
    <w:rsid w:val="00E0125A"/>
    <w:rsid w:val="00E01F99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13F8"/>
    <w:rsid w:val="00ED3A01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3AFB"/>
    <w:rsid w:val="00F04F58"/>
    <w:rsid w:val="00F05D4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6075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22BCA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396A-9486-4CEF-80F3-CBA54388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55</Pages>
  <Words>19436</Words>
  <Characters>110788</Characters>
  <Application>Microsoft Office Word</Application>
  <DocSecurity>0</DocSecurity>
  <Lines>923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24</cp:revision>
  <dcterms:created xsi:type="dcterms:W3CDTF">2018-09-20T19:08:00Z</dcterms:created>
  <dcterms:modified xsi:type="dcterms:W3CDTF">2018-09-21T07:25:00Z</dcterms:modified>
</cp:coreProperties>
</file>