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631442">
        <w:rPr>
          <w:rFonts w:ascii="Arial" w:eastAsia="Arial" w:hAnsi="Arial" w:cs="Arial"/>
          <w:b/>
          <w:sz w:val="32"/>
          <w:szCs w:val="24"/>
        </w:rPr>
        <w:t>1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D86C1F">
        <w:rPr>
          <w:rFonts w:ascii="Arial" w:eastAsia="Arial" w:hAnsi="Arial" w:cs="Arial"/>
          <w:sz w:val="24"/>
          <w:szCs w:val="24"/>
        </w:rPr>
        <w:t>3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631442">
        <w:rPr>
          <w:rFonts w:ascii="Arial" w:eastAsia="Arial" w:hAnsi="Arial" w:cs="Arial"/>
          <w:sz w:val="24"/>
          <w:szCs w:val="24"/>
        </w:rPr>
        <w:t>10</w:t>
      </w:r>
      <w:r w:rsidR="00497AF4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6938AF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  <w:bookmarkStart w:id="5" w:name="_GoBack"/>
      <w:bookmarkEnd w:id="5"/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06AC5" w:rsidRPr="00D06AC5">
        <w:rPr>
          <w:rFonts w:ascii="Arial" w:eastAsia="Arial" w:hAnsi="Arial" w:cs="Arial"/>
          <w:b/>
          <w:color w:val="0070C0"/>
          <w:sz w:val="24"/>
          <w:szCs w:val="24"/>
        </w:rPr>
        <w:t xml:space="preserve"> 507,945 </w:t>
      </w:r>
      <w:r w:rsidR="008B36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AC5" w:rsidRPr="00D06AC5">
        <w:rPr>
          <w:rFonts w:ascii="Arial" w:eastAsia="Arial" w:hAnsi="Arial" w:cs="Arial"/>
          <w:b/>
          <w:color w:val="0070C0"/>
          <w:sz w:val="24"/>
          <w:szCs w:val="24"/>
        </w:rPr>
        <w:t xml:space="preserve">2,140,966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E76EC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733FC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4FD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7DFF" w:rsidRPr="004733FC">
        <w:rPr>
          <w:rFonts w:ascii="Arial" w:eastAsia="Arial" w:hAnsi="Arial" w:cs="Arial"/>
          <w:b/>
          <w:color w:val="auto"/>
          <w:sz w:val="24"/>
          <w:szCs w:val="24"/>
        </w:rPr>
        <w:t>480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4733F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4520"/>
        <w:gridCol w:w="2616"/>
        <w:gridCol w:w="1781"/>
        <w:gridCol w:w="1694"/>
        <w:gridCol w:w="1458"/>
        <w:gridCol w:w="1449"/>
        <w:gridCol w:w="1449"/>
      </w:tblGrid>
      <w:tr w:rsidR="00D06AC5" w:rsidRPr="00D06AC5" w:rsidTr="00D06AC5">
        <w:trPr>
          <w:trHeight w:val="70"/>
        </w:trPr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PSA</w:t>
            </w: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Population, 2015</w:t>
            </w:r>
          </w:p>
        </w:tc>
        <w:tc>
          <w:tcPr>
            <w:tcW w:w="2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D06AC5" w:rsidRPr="00D06AC5" w:rsidTr="00D06AC5">
        <w:trPr>
          <w:trHeight w:val="109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6D5A81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5A8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51,673,108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4,819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507,945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2,140,966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D06AC5">
              <w:rPr>
                <w:rFonts w:ascii="&quot;Arial Narrow&quot;" w:eastAsia="Times New Roman" w:hAnsi="&quot;Arial Narrow&quot;"/>
                <w:bCs/>
                <w:i/>
              </w:rPr>
              <w:t xml:space="preserve"> -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1,516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121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172,879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721,380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1,382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121,147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512,582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844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145,510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625,989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D06AC5" w:rsidRPr="00D06AC5" w:rsidTr="00D06AC5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784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51,853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212,039 </w:t>
            </w:r>
          </w:p>
        </w:tc>
      </w:tr>
    </w:tbl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 in figures are due to 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6A0C8C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Default="005B653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0652" w:rsidRPr="005B6532" w:rsidRDefault="0023065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2746"/>
        <w:gridCol w:w="624"/>
        <w:gridCol w:w="713"/>
        <w:gridCol w:w="691"/>
        <w:gridCol w:w="596"/>
        <w:gridCol w:w="691"/>
        <w:gridCol w:w="620"/>
        <w:gridCol w:w="742"/>
        <w:gridCol w:w="736"/>
        <w:gridCol w:w="691"/>
        <w:gridCol w:w="578"/>
        <w:gridCol w:w="697"/>
        <w:gridCol w:w="700"/>
        <w:gridCol w:w="742"/>
        <w:gridCol w:w="736"/>
        <w:gridCol w:w="691"/>
        <w:gridCol w:w="620"/>
        <w:gridCol w:w="691"/>
        <w:gridCol w:w="662"/>
      </w:tblGrid>
      <w:tr w:rsidR="00D06AC5" w:rsidRPr="00D06AC5" w:rsidTr="007450CA">
        <w:trPr>
          <w:trHeight w:val="20"/>
          <w:tblHeader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9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D06AC5" w:rsidRPr="00D06AC5" w:rsidTr="007450CA">
        <w:trPr>
          <w:trHeight w:val="20"/>
          <w:tblHeader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3,439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434,350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20,550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109,403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413,800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27,756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101,639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443,683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222,947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11,747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906,125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48,501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70,092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70,092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80,346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1,434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19,263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78,912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38,001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150,438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1,561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437,866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806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87,749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10,604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20,402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77,145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19,317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19,314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85,995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46,988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7,272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193,061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29,921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D06AC5" w:rsidRPr="00D06AC5" w:rsidTr="007450CA">
        <w:trPr>
          <w:trHeight w:val="20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8,887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2,447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32,734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9,754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6,440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22,980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23,267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7,005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4,111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16,262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14,870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4,161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56,077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16,827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C7DB0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30652" w:rsidRDefault="009A3EE5" w:rsidP="009A50F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230652" w:rsidRDefault="00230652" w:rsidP="009A50F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D771C7" w:rsidRPr="00DC6D1A" w:rsidRDefault="00D771C7" w:rsidP="009A50F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25332"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DC6D1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62896" w:rsidRPr="00DC6D1A">
        <w:rPr>
          <w:rFonts w:ascii="Arial" w:eastAsia="Arial Narrow" w:hAnsi="Arial" w:cs="Arial"/>
          <w:b/>
          <w:color w:val="auto"/>
          <w:sz w:val="24"/>
          <w:szCs w:val="24"/>
        </w:rPr>
        <w:t>98,581,</w:t>
      </w:r>
      <w:r w:rsidR="00431402" w:rsidRPr="00DC6D1A">
        <w:rPr>
          <w:rFonts w:ascii="Arial" w:eastAsia="Arial Narrow" w:hAnsi="Arial" w:cs="Arial"/>
          <w:b/>
          <w:color w:val="auto"/>
          <w:sz w:val="24"/>
          <w:szCs w:val="24"/>
        </w:rPr>
        <w:t>208</w:t>
      </w:r>
      <w:r w:rsidR="00054EFA" w:rsidRPr="00DC6D1A">
        <w:rPr>
          <w:rFonts w:ascii="Arial" w:eastAsia="Arial Narrow" w:hAnsi="Arial" w:cs="Arial"/>
          <w:b/>
          <w:color w:val="auto"/>
          <w:sz w:val="24"/>
          <w:szCs w:val="24"/>
        </w:rPr>
        <w:t>.25</w:t>
      </w:r>
      <w:r w:rsidR="00DC7DB0" w:rsidRPr="00DC6D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054EFA" w:rsidRPr="00DC6D1A">
        <w:rPr>
          <w:rFonts w:ascii="Arial" w:eastAsia="Arial Narrow" w:hAnsi="Arial" w:cs="Arial"/>
          <w:color w:val="auto"/>
          <w:sz w:val="24"/>
          <w:szCs w:val="24"/>
        </w:rPr>
        <w:t>s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 w:rsidRPr="00DC6D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DC6D1A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CF5E70" w:rsidRPr="00DC6D1A" w:rsidTr="00CF5E70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DC6D1A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DC6D1A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DC6D1A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C7DB0"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6D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36,936,000</w:t>
            </w:r>
            <w:r w:rsidR="00CF5E70"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102,600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36,936</w:t>
            </w:r>
            <w:r w:rsidR="00CF5E70"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25,702,500.00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12,414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22,193,158.50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11,609,487.75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61,645,238.25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CF5E7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5E70" w:rsidRPr="00CF5E70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98,581,208.25</w:t>
            </w:r>
          </w:p>
        </w:tc>
      </w:tr>
    </w:tbl>
    <w:p w:rsidR="00431402" w:rsidRDefault="00431402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1970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7E62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7E6230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1,109,950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6D1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E623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C6D1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DC6D1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9A50F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9A50F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19706A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954EB9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EB9">
              <w:rPr>
                <w:rFonts w:ascii="Arial" w:hAnsi="Arial" w:cs="Arial"/>
                <w:b/>
                <w:bCs/>
                <w:sz w:val="20"/>
                <w:szCs w:val="20"/>
              </w:rPr>
              <w:t>48,682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954EB9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EB9">
              <w:rPr>
                <w:rFonts w:ascii="Arial" w:hAnsi="Arial" w:cs="Arial"/>
                <w:b/>
                <w:bCs/>
                <w:sz w:val="20"/>
                <w:szCs w:val="20"/>
              </w:rPr>
              <w:t>17,525,520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C7D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E436D8" w:rsidRPr="005B6532" w:rsidRDefault="00E436D8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CA14C8" w:rsidRPr="00954EB9" w:rsidRDefault="00954EB9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previously reported relief items for delivery were already received by concerned DSWD Field Offices as of 23 September 2018.</w:t>
      </w:r>
    </w:p>
    <w:p w:rsidR="00954EB9" w:rsidRPr="00C5235A" w:rsidRDefault="00954EB9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9A50F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6"/>
        <w:gridCol w:w="4746"/>
        <w:gridCol w:w="3501"/>
        <w:gridCol w:w="4196"/>
      </w:tblGrid>
      <w:tr w:rsidR="00E03907" w:rsidRPr="00E03907" w:rsidTr="00D62896">
        <w:trPr>
          <w:trHeight w:val="2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03907" w:rsidRPr="00E03907" w:rsidTr="00D62896">
        <w:trPr>
          <w:trHeight w:val="2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val="2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BFP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Ride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Guardians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Community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(RG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>Com)</w:t>
            </w:r>
            <w:r w:rsidRPr="00D62896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ASMSI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AAF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MRRD-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NECC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62896" w:rsidRDefault="00D62896" w:rsidP="009A50F0">
            <w:pPr>
              <w:spacing w:after="0" w:line="240" w:lineRule="auto"/>
              <w:contextualSpacing/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62896" w:rsidRPr="00E03907" w:rsidTr="00D62896">
        <w:trPr>
          <w:trHeight w:hRule="exact" w:val="227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Du30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Riders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896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62896" w:rsidRPr="00E07CB3" w:rsidRDefault="00D62896" w:rsidP="009A50F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C7D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7CB3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E03907" w:rsidRPr="00E03907" w:rsidTr="00D62896">
        <w:trPr>
          <w:trHeight w:val="20"/>
        </w:trPr>
        <w:tc>
          <w:tcPr>
            <w:tcW w:w="23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D62896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62896" w:rsidRPr="005B6532" w:rsidRDefault="00D62896" w:rsidP="009A50F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9A50F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042AE3"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color w:val="auto"/>
          <w:sz w:val="24"/>
          <w:szCs w:val="24"/>
        </w:rPr>
        <w:t>(</w:t>
      </w:r>
      <w:r w:rsidR="00042AE3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C7DB0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9A50F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9A50F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Close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9A50F0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A5FE1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117,685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1A5FE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9A50F0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9A50F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5FE1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10,334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5FE1" w:rsidRPr="001A5FE1">
        <w:rPr>
          <w:rFonts w:ascii="Arial" w:eastAsia="Arial" w:hAnsi="Arial" w:cs="Arial"/>
          <w:b/>
          <w:color w:val="0070C0"/>
          <w:sz w:val="24"/>
          <w:szCs w:val="24"/>
        </w:rPr>
        <w:t>107,351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C7DB0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9A50F0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9A50F0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p w:rsidR="00D06AC5" w:rsidRDefault="00D06AC5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7822"/>
        <w:gridCol w:w="1535"/>
        <w:gridCol w:w="2582"/>
        <w:gridCol w:w="2881"/>
      </w:tblGrid>
      <w:tr w:rsidR="00D06AC5" w:rsidRPr="00D06AC5" w:rsidTr="00D06AC5">
        <w:trPr>
          <w:trHeight w:val="70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117,685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bookmarkStart w:id="6" w:name="_Hlk525500555"/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10,334 </w:t>
            </w:r>
            <w:bookmarkEnd w:id="6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107,351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17,607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800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16,807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75,672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8,022 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67,650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1,393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1,318 </w:t>
            </w:r>
          </w:p>
        </w:tc>
      </w:tr>
      <w:tr w:rsidR="00D06AC5" w:rsidRPr="00D06AC5" w:rsidTr="00D06AC5">
        <w:trPr>
          <w:trHeight w:val="2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23,013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1,437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C5" w:rsidRPr="00D06AC5" w:rsidRDefault="00D06AC5" w:rsidP="00D06A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06AC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21,576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5167F" w:rsidRPr="005B6532" w:rsidRDefault="0055167F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7" w:name="_Hlk525092633"/>
      <w:r w:rsidRPr="001A5FE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A5FE1" w:rsidRPr="001A5FE1">
        <w:rPr>
          <w:rFonts w:ascii="Arial" w:eastAsia="Arial" w:hAnsi="Arial" w:cs="Arial"/>
          <w:b/>
          <w:color w:val="0070C0"/>
          <w:sz w:val="24"/>
          <w:szCs w:val="24"/>
        </w:rPr>
        <w:t xml:space="preserve">63,503,619.95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7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257"/>
        <w:gridCol w:w="5569"/>
      </w:tblGrid>
      <w:tr w:rsidR="001A5FE1" w:rsidRPr="001A5FE1" w:rsidTr="001A5FE1">
        <w:trPr>
          <w:trHeight w:val="70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A5FE1" w:rsidRPr="001A5FE1" w:rsidTr="001A5FE1">
        <w:trPr>
          <w:trHeight w:val="20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1A5FE1" w:rsidRPr="001A5FE1" w:rsidTr="001A5FE1">
        <w:trPr>
          <w:trHeight w:val="20"/>
          <w:tblHeader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63,503,619.95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36,117,569.75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11,139,150.00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6,315,032.60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1A5FE1" w:rsidRPr="001A5FE1" w:rsidTr="001A5FE1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6,660,543.70 </w:t>
            </w:r>
          </w:p>
        </w:tc>
      </w:tr>
    </w:tbl>
    <w:p w:rsidR="00684A1D" w:rsidRPr="005B6532" w:rsidRDefault="00684A1D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9A50F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954EB9" w:rsidRDefault="009E01A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1402" w:rsidRPr="00954EB9">
        <w:rPr>
          <w:rFonts w:ascii="Arial" w:eastAsia="Arial" w:hAnsi="Arial" w:cs="Arial"/>
          <w:b/>
          <w:color w:val="auto"/>
          <w:sz w:val="24"/>
          <w:szCs w:val="24"/>
        </w:rPr>
        <w:t>36,936</w:t>
      </w:r>
      <w:r w:rsidR="002F0CC8" w:rsidRPr="00954EB9">
        <w:rPr>
          <w:rFonts w:ascii="Arial" w:eastAsia="Arial" w:hAnsi="Arial" w:cs="Arial"/>
          <w:b/>
          <w:color w:val="auto"/>
          <w:sz w:val="24"/>
          <w:szCs w:val="24"/>
        </w:rPr>
        <w:t>,000.00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 w:rsidRPr="00954EB9">
        <w:rPr>
          <w:rFonts w:ascii="Arial" w:eastAsia="Arial" w:hAnsi="Arial" w:cs="Arial"/>
          <w:color w:val="auto"/>
          <w:sz w:val="24"/>
          <w:szCs w:val="24"/>
        </w:rPr>
        <w:t>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3"/>
        <w:gridCol w:w="2994"/>
        <w:gridCol w:w="3581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31402" w:rsidRPr="00E01F99" w:rsidTr="004733FC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402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1402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31402" w:rsidRPr="00E01F99" w:rsidTr="004733FC">
        <w:trPr>
          <w:trHeight w:val="20"/>
        </w:trPr>
        <w:tc>
          <w:tcPr>
            <w:tcW w:w="727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02" w:rsidRPr="00E01F99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31402" w:rsidRDefault="00431402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431402">
        <w:trPr>
          <w:trHeight w:val="20"/>
        </w:trPr>
        <w:tc>
          <w:tcPr>
            <w:tcW w:w="301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31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36,936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4EB9" w:rsidRDefault="00954EB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913650" w:rsidRPr="005B6532" w:rsidRDefault="0055167F" w:rsidP="009A50F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Non-Food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954EB9" w:rsidRDefault="006843A0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35F9" w:rsidRPr="00954EB9">
        <w:rPr>
          <w:rFonts w:ascii="Arial" w:eastAsia="Arial" w:hAnsi="Arial" w:cs="Arial"/>
          <w:b/>
          <w:color w:val="auto"/>
          <w:sz w:val="24"/>
          <w:szCs w:val="24"/>
        </w:rPr>
        <w:t>61,645,238.25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954EB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954EB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>.</w:t>
      </w:r>
      <w:r w:rsidR="00DC7DB0" w:rsidRPr="00954EB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F20261" w:rsidRPr="00F20261" w:rsidTr="00AA66FB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CF6C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C7D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F20261" w:rsidRPr="00F20261" w:rsidRDefault="00F20261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DC7DB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198,561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C7DB0" w:rsidP="009A50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61,645,238.25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14C8" w:rsidRPr="00C44A50" w:rsidRDefault="00CA14C8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137E" w:rsidRPr="0034137E" w:rsidRDefault="0034137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9A50F0" w:rsidRDefault="006843A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15,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289,984.45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954,132.00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A6C1A" w:rsidRPr="009A50F0">
        <w:rPr>
          <w:rFonts w:ascii="Arial" w:eastAsia="Arial" w:hAnsi="Arial" w:cs="Arial"/>
          <w:b/>
          <w:color w:val="auto"/>
          <w:sz w:val="24"/>
          <w:szCs w:val="24"/>
        </w:rPr>
        <w:t>167,664</w:t>
      </w:r>
      <w:r w:rsidR="008D71CB" w:rsidRPr="009A50F0">
        <w:rPr>
          <w:rFonts w:ascii="Arial" w:eastAsia="Arial" w:hAnsi="Arial" w:cs="Arial"/>
          <w:b/>
          <w:color w:val="auto"/>
          <w:sz w:val="24"/>
          <w:szCs w:val="24"/>
        </w:rPr>
        <w:t>.00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3D06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9A50F0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9A50F0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C7DB0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797"/>
        <w:gridCol w:w="1972"/>
        <w:gridCol w:w="2092"/>
        <w:gridCol w:w="1852"/>
        <w:gridCol w:w="2670"/>
      </w:tblGrid>
      <w:tr w:rsidR="001A5FE1" w:rsidRPr="001A5FE1" w:rsidTr="001A5FE1">
        <w:trPr>
          <w:trHeight w:val="132"/>
        </w:trPr>
        <w:tc>
          <w:tcPr>
            <w:tcW w:w="2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15,289,984.45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954,132.00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167,664.00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16,411,780.45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2,383,231.68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2,437,901.68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2,156,260.50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5,538,909.00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6,046,609.00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1A5FE1" w:rsidRPr="001A5FE1" w:rsidTr="001A5FE1">
        <w:trPr>
          <w:trHeight w:val="20"/>
        </w:trPr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5,287,984.27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444,482.00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31,844.00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5,764,310.27 </w:t>
            </w:r>
          </w:p>
        </w:tc>
      </w:tr>
    </w:tbl>
    <w:p w:rsidR="001A5FE1" w:rsidRDefault="001A5FE1" w:rsidP="009A50F0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F55411" w:rsidRDefault="00F55411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proofErr w:type="spellEnd"/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1A5FE1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9"/>
        <w:gridCol w:w="8042"/>
        <w:gridCol w:w="2677"/>
        <w:gridCol w:w="2194"/>
        <w:gridCol w:w="2191"/>
      </w:tblGrid>
      <w:tr w:rsidR="001A5FE1" w:rsidRPr="001A5FE1" w:rsidTr="001A5FE1">
        <w:trPr>
          <w:trHeight w:val="139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A5FE1" w:rsidRPr="001A5FE1" w:rsidTr="001A5FE1">
        <w:trPr>
          <w:trHeight w:val="7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A5FE1" w:rsidRPr="001A5FE1" w:rsidTr="001A5FE1">
        <w:trPr>
          <w:trHeight w:val="20"/>
          <w:tblHeader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507,945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2,140,966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Las </w:t>
            </w:r>
            <w:proofErr w:type="spellStart"/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172,879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721,380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55,258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203,203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69,694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79,753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366,387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37,466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89,267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384,594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145,510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625,989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130,695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51,853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212,039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21,290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89,320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16,958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21,871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88,286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13,001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3,222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24,411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15,572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4,025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15,478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 xml:space="preserve"> 367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11,243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4,160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2,986 </w:t>
            </w:r>
          </w:p>
        </w:tc>
      </w:tr>
      <w:tr w:rsidR="001A5FE1" w:rsidRPr="001A5FE1" w:rsidTr="001A5FE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2,516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410 </w:t>
            </w:r>
          </w:p>
        </w:tc>
      </w:tr>
      <w:tr w:rsidR="001A5FE1" w:rsidRPr="001A5FE1" w:rsidTr="001A5FE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A5FE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1A5FE1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A5FE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A5FE1" w:rsidRPr="00F728AF" w:rsidRDefault="001A5FE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"/>
        <w:gridCol w:w="1355"/>
        <w:gridCol w:w="629"/>
        <w:gridCol w:w="689"/>
        <w:gridCol w:w="809"/>
        <w:gridCol w:w="628"/>
        <w:gridCol w:w="809"/>
        <w:gridCol w:w="717"/>
        <w:gridCol w:w="874"/>
        <w:gridCol w:w="865"/>
        <w:gridCol w:w="809"/>
        <w:gridCol w:w="628"/>
        <w:gridCol w:w="809"/>
        <w:gridCol w:w="717"/>
        <w:gridCol w:w="874"/>
        <w:gridCol w:w="865"/>
        <w:gridCol w:w="809"/>
        <w:gridCol w:w="717"/>
        <w:gridCol w:w="809"/>
        <w:gridCol w:w="714"/>
      </w:tblGrid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1A5FE1" w:rsidRPr="007450CA" w:rsidTr="007450CA">
        <w:trPr>
          <w:trHeight w:val="20"/>
          <w:tblHeader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3,439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20,550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109,403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413,800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27,756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101,639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443,683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222,947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906,125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48,501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Las </w:t>
            </w:r>
            <w:proofErr w:type="spellStart"/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70,092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19,538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78,912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150,438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1,561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23,757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22,812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37,431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806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87,749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77,145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19,314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85,995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46,988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29,921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4,386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17,006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4,386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4,386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2,241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32,734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9,754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6,440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22,980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7,005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14,870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56,077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16,827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11,724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14,196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3,961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14,043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5,296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2,765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11,235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10,298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2,973 </w:t>
            </w:r>
          </w:p>
        </w:tc>
      </w:tr>
      <w:tr w:rsidR="001A5FE1" w:rsidRPr="007450CA" w:rsidTr="007450CA">
        <w:trPr>
          <w:trHeight w:val="20"/>
        </w:trPr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1A5FE1" w:rsidRPr="007450CA" w:rsidTr="007450CA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FE1" w:rsidRPr="007450CA" w:rsidRDefault="001A5FE1" w:rsidP="001A5F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8104"/>
        <w:gridCol w:w="1535"/>
        <w:gridCol w:w="2581"/>
        <w:gridCol w:w="2883"/>
      </w:tblGrid>
      <w:tr w:rsidR="007450CA" w:rsidRPr="007450CA" w:rsidTr="007450CA">
        <w:trPr>
          <w:trHeight w:val="70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117,685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10,334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107,351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17,607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16,807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3,529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23,013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21,576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8,778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3,218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8,869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8,435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7450CA" w:rsidRPr="007450CA" w:rsidTr="007450CA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450CA" w:rsidRPr="007450CA" w:rsidTr="007450C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50CA" w:rsidRDefault="007450C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6D1A" w:rsidRDefault="00DC6D1A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83"/>
        <w:gridCol w:w="5532"/>
        <w:gridCol w:w="1772"/>
        <w:gridCol w:w="1744"/>
        <w:gridCol w:w="1852"/>
        <w:gridCol w:w="1637"/>
        <w:gridCol w:w="2363"/>
      </w:tblGrid>
      <w:tr w:rsidR="007450CA" w:rsidRPr="007450CA" w:rsidTr="007450CA">
        <w:trPr>
          <w:trHeight w:val="156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450CA" w:rsidRPr="007450CA" w:rsidTr="007450CA">
        <w:trPr>
          <w:trHeight w:val="20"/>
          <w:tblHeader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63,503,619.95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15,289,984.45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954,132.00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167,664.00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79,915,400.40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2,383,231.68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38,555,471.43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3,748,875.00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4,104,624.68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5,538,909.00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12,361,641.60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4,653,628.00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6,660,543.70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5,287,984.27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444,482.00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31,844.00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12,424,853.97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2,572,084.75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1,366,713.00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3,938,797.75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95,704.00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201,208.00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296,912.00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1,751,192.00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2,304,061.00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853,712.00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1,078,124.50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281,100.00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35,244.00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473,000.00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488,900.00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2,173,099.55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342,930.27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2,927,591.82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308,332.64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95,996.25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95,996.25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432,265.00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1,879.50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754,182.05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1,250,885.38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474,035.00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102,321.00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615,856.00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60,621.00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192,736.75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7450CA" w:rsidRPr="007450CA" w:rsidTr="007450CA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7450CA" w:rsidRPr="007450CA" w:rsidTr="007450C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7450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CA" w:rsidRPr="007450CA" w:rsidRDefault="007450CA" w:rsidP="007450C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0C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8C0099" w:rsidRDefault="008C0099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9B" w:rsidRDefault="003D619B">
      <w:pPr>
        <w:spacing w:after="0" w:line="240" w:lineRule="auto"/>
      </w:pPr>
      <w:r>
        <w:separator/>
      </w:r>
    </w:p>
  </w:endnote>
  <w:endnote w:type="continuationSeparator" w:id="0">
    <w:p w:rsidR="003D619B" w:rsidRDefault="003D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72" w:rsidRPr="00616ED8" w:rsidRDefault="006B537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6B5372" w:rsidRPr="00616ED8" w:rsidRDefault="006B5372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31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23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9B" w:rsidRDefault="003D619B">
      <w:pPr>
        <w:spacing w:after="0" w:line="240" w:lineRule="auto"/>
      </w:pPr>
      <w:r>
        <w:separator/>
      </w:r>
    </w:p>
  </w:footnote>
  <w:footnote w:type="continuationSeparator" w:id="0">
    <w:p w:rsidR="003D619B" w:rsidRDefault="003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72" w:rsidRDefault="006B537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372" w:rsidRDefault="006B5372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B5372" w:rsidRDefault="006B5372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B5372" w:rsidRPr="006A0C8C" w:rsidRDefault="006B5372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4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38AF"/>
    <w:rsid w:val="00695D36"/>
    <w:rsid w:val="0069611E"/>
    <w:rsid w:val="00696FAF"/>
    <w:rsid w:val="006A0C8C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DC6"/>
    <w:rsid w:val="006D4465"/>
    <w:rsid w:val="006D5A81"/>
    <w:rsid w:val="006D67C6"/>
    <w:rsid w:val="006E08CA"/>
    <w:rsid w:val="006E1071"/>
    <w:rsid w:val="006E23E1"/>
    <w:rsid w:val="006E6AC7"/>
    <w:rsid w:val="00701F97"/>
    <w:rsid w:val="007029A9"/>
    <w:rsid w:val="00703E20"/>
    <w:rsid w:val="007124FE"/>
    <w:rsid w:val="007134A2"/>
    <w:rsid w:val="00713CA8"/>
    <w:rsid w:val="0071488F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B3F6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D656-B296-450E-AF72-114A9B1F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59</Pages>
  <Words>15794</Words>
  <Characters>90030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6</cp:revision>
  <dcterms:created xsi:type="dcterms:W3CDTF">2018-09-23T13:05:00Z</dcterms:created>
  <dcterms:modified xsi:type="dcterms:W3CDTF">2018-09-23T13:58:00Z</dcterms:modified>
</cp:coreProperties>
</file>