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8B383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9573BE">
        <w:rPr>
          <w:rFonts w:ascii="Arial" w:eastAsia="Arial" w:hAnsi="Arial" w:cs="Arial"/>
          <w:b/>
          <w:sz w:val="32"/>
          <w:szCs w:val="24"/>
        </w:rPr>
        <w:t>21</w:t>
      </w:r>
    </w:p>
    <w:p w:rsidR="00FC0FDC" w:rsidRPr="002F1245" w:rsidRDefault="00FC0FDC" w:rsidP="008B383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716E21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716E21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8B383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="009C61DB">
        <w:rPr>
          <w:rFonts w:ascii="Arial" w:eastAsia="Arial" w:hAnsi="Arial" w:cs="Arial"/>
          <w:sz w:val="24"/>
          <w:szCs w:val="24"/>
        </w:rPr>
        <w:t>3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="009573BE">
        <w:rPr>
          <w:rFonts w:ascii="Arial" w:eastAsia="Arial" w:hAnsi="Arial" w:cs="Arial"/>
          <w:sz w:val="24"/>
          <w:szCs w:val="24"/>
        </w:rPr>
        <w:t>12NN</w:t>
      </w:r>
    </w:p>
    <w:p w:rsidR="00FC0FDC" w:rsidRPr="002F1245" w:rsidRDefault="00FC0FDC" w:rsidP="008B3830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8B38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A4760" w:rsidRPr="00DA4760">
        <w:rPr>
          <w:rFonts w:ascii="Arial" w:eastAsia="Times New Roman" w:hAnsi="Arial" w:cs="Arial"/>
          <w:b/>
          <w:bCs/>
          <w:color w:val="0070C0"/>
          <w:sz w:val="24"/>
          <w:szCs w:val="24"/>
        </w:rPr>
        <w:t>60,341</w:t>
      </w:r>
      <w:r w:rsidR="00716E2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A4760" w:rsidRPr="00DA4760">
        <w:rPr>
          <w:rFonts w:ascii="Arial" w:eastAsia="Times New Roman" w:hAnsi="Arial" w:cs="Arial"/>
          <w:b/>
          <w:bCs/>
          <w:color w:val="0070C0"/>
          <w:sz w:val="24"/>
          <w:szCs w:val="24"/>
        </w:rPr>
        <w:t>229,788</w:t>
      </w:r>
      <w:r w:rsidR="00716E2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DA47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16E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51498" w:rsidRPr="00A20DFF">
        <w:rPr>
          <w:rFonts w:ascii="Arial" w:eastAsia="Arial" w:hAnsi="Arial" w:cs="Arial"/>
          <w:b/>
          <w:color w:val="auto"/>
          <w:sz w:val="24"/>
          <w:szCs w:val="24"/>
        </w:rPr>
        <w:t>1,362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F5D25" w:rsidRPr="00451856">
        <w:rPr>
          <w:rFonts w:ascii="Arial" w:eastAsia="Arial" w:hAnsi="Arial" w:cs="Arial"/>
          <w:b/>
          <w:color w:val="auto"/>
          <w:sz w:val="24"/>
          <w:szCs w:val="24"/>
        </w:rPr>
        <w:t>19</w:t>
      </w:r>
      <w:r w:rsidR="00875279" w:rsidRPr="00451856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610"/>
        <w:gridCol w:w="3069"/>
        <w:gridCol w:w="1836"/>
        <w:gridCol w:w="1836"/>
        <w:gridCol w:w="1836"/>
        <w:gridCol w:w="1833"/>
        <w:gridCol w:w="1833"/>
      </w:tblGrid>
      <w:tr w:rsidR="00DA4760" w:rsidRPr="00DA4760" w:rsidTr="00DA4760">
        <w:trPr>
          <w:trHeight w:val="20"/>
        </w:trPr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4760" w:rsidRPr="00DA4760" w:rsidRDefault="00DA4760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A4760" w:rsidRPr="00DA4760" w:rsidTr="00DA4760">
        <w:trPr>
          <w:trHeight w:val="20"/>
        </w:trPr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60" w:rsidRPr="00DA4760" w:rsidRDefault="00DA4760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760" w:rsidRPr="00DA4760" w:rsidRDefault="00DA4760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A4760" w:rsidRPr="00DA4760" w:rsidTr="00DA4760">
        <w:trPr>
          <w:trHeight w:val="2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4760" w:rsidRPr="00DA4760" w:rsidRDefault="00DA4760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A47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DA47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60,341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229,788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4760" w:rsidRPr="00DA4760" w:rsidTr="00DA4760">
        <w:trPr>
          <w:trHeight w:val="2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DA4760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A4760" w:rsidRPr="00DA4760" w:rsidTr="00DA4760">
        <w:trPr>
          <w:trHeight w:val="2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DA4760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882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42,641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165,686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A4760" w:rsidRPr="00DA4760" w:rsidTr="00DA4760">
        <w:trPr>
          <w:trHeight w:val="2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DA4760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A4760" w:rsidRPr="00DA4760" w:rsidTr="00DA4760">
        <w:trPr>
          <w:trHeight w:val="2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DA4760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DA4760" w:rsidRPr="00DA4760" w:rsidTr="00DA4760">
        <w:trPr>
          <w:trHeight w:val="20"/>
        </w:trPr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DA4760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8,476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760" w:rsidRPr="00DA476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DA4760" w:rsidRPr="00DA476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34,391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C0FDC" w:rsidRDefault="00FC0FDC" w:rsidP="008B383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8B3830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870"/>
        <w:gridCol w:w="628"/>
        <w:gridCol w:w="688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17"/>
        <w:gridCol w:w="873"/>
        <w:gridCol w:w="864"/>
        <w:gridCol w:w="718"/>
        <w:gridCol w:w="618"/>
        <w:gridCol w:w="809"/>
        <w:gridCol w:w="617"/>
      </w:tblGrid>
      <w:tr w:rsidR="00716E21" w:rsidRPr="00716E21" w:rsidTr="00716E21">
        <w:trPr>
          <w:trHeight w:val="20"/>
          <w:tblHeader/>
        </w:trPr>
        <w:tc>
          <w:tcPr>
            <w:tcW w:w="6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16E21" w:rsidRPr="00716E21" w:rsidTr="00716E21">
        <w:trPr>
          <w:trHeight w:val="20"/>
          <w:tblHeader/>
        </w:trPr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16E21" w:rsidRPr="00716E21" w:rsidTr="00716E21">
        <w:trPr>
          <w:trHeight w:val="20"/>
          <w:tblHeader/>
        </w:trPr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16E21" w:rsidRPr="00716E21" w:rsidTr="00716E21">
        <w:trPr>
          <w:trHeight w:val="20"/>
          <w:tblHeader/>
        </w:trPr>
        <w:tc>
          <w:tcPr>
            <w:tcW w:w="6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16E21" w:rsidRPr="00716E21" w:rsidTr="00716E21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29,468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110,132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29,333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109,666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23,589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88,339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87,956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52,984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198,471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6E21" w:rsidRPr="00716E21" w:rsidTr="00716E21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</w:rPr>
              <w:t xml:space="preserve"> 1,527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</w:rPr>
              <w:t xml:space="preserve"> 4,794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</w:rPr>
              <w:t xml:space="preserve"> 420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</w:rPr>
              <w:t xml:space="preserve"> 1,315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1,947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716E21" w:rsidRPr="00716E21" w:rsidTr="00716E21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784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22,105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86,225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22,104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86,221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17,184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66,026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17,184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66,026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39,289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152,251 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 </w:t>
            </w:r>
          </w:p>
        </w:tc>
      </w:tr>
      <w:tr w:rsidR="00716E21" w:rsidRPr="00716E21" w:rsidTr="00716E21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2,659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8,070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6,875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716E21" w:rsidRPr="00716E21" w:rsidTr="00716E21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404 </w:t>
            </w:r>
          </w:p>
        </w:tc>
      </w:tr>
      <w:tr w:rsidR="00716E21" w:rsidRPr="00716E21" w:rsidTr="00716E21">
        <w:trPr>
          <w:trHeight w:val="20"/>
        </w:trPr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3,154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111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10,951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370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3,043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10,581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1,691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7,007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1,676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6,936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4,772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126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17,958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E21" w:rsidRPr="00716E2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716E21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441 </w:t>
            </w:r>
          </w:p>
        </w:tc>
      </w:tr>
    </w:tbl>
    <w:p w:rsidR="00FC0FDC" w:rsidRPr="002F1245" w:rsidRDefault="00FC0FDC" w:rsidP="008B3830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716E21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8B3830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716E21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716E21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8B383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716E21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716E21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716E21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8B3830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8B383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8B383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716E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8B3830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All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relief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goods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in-transit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were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already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delivered.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8B3830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716E21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716E21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716E21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4770"/>
        <w:gridCol w:w="4707"/>
        <w:gridCol w:w="2276"/>
        <w:gridCol w:w="2922"/>
      </w:tblGrid>
      <w:tr w:rsidR="00D26CF8" w:rsidRPr="00B2221D" w:rsidTr="00D26CF8">
        <w:trPr>
          <w:trHeight w:val="20"/>
          <w:tblHeader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Globe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="00716E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WORKFORCE</w:t>
            </w:r>
            <w:r w:rsidR="00716E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DEPLOYED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8B3830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8B3830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8B3830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8B3830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8B3830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8B3830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8B3830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4B7BDE" w:rsidRDefault="00724AC2" w:rsidP="008B383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6DCE">
        <w:rPr>
          <w:rFonts w:ascii="Arial" w:eastAsia="Arial" w:hAnsi="Arial" w:cs="Arial"/>
          <w:color w:val="auto"/>
          <w:sz w:val="24"/>
          <w:szCs w:val="24"/>
        </w:rPr>
        <w:t>There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are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E649E" w:rsidRPr="004B7BDE">
        <w:rPr>
          <w:rFonts w:ascii="Arial" w:eastAsia="Arial" w:hAnsi="Arial" w:cs="Arial"/>
          <w:b/>
          <w:color w:val="auto"/>
          <w:sz w:val="24"/>
          <w:szCs w:val="24"/>
        </w:rPr>
        <w:t>7,861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reported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in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4B7BDE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4B7BDE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4B7BD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4B7BDE">
        <w:rPr>
          <w:rFonts w:ascii="Arial" w:eastAsia="Arial" w:hAnsi="Arial" w:cs="Arial"/>
          <w:color w:val="auto"/>
          <w:sz w:val="24"/>
          <w:szCs w:val="24"/>
        </w:rPr>
        <w:t>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of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which,</w:t>
      </w:r>
      <w:r w:rsidR="00716E21">
        <w:rPr>
          <w:rFonts w:ascii="Arial" w:hAnsi="Arial" w:cs="Arial"/>
          <w:color w:val="auto"/>
          <w:sz w:val="24"/>
          <w:szCs w:val="24"/>
        </w:rPr>
        <w:t xml:space="preserve"> </w:t>
      </w:r>
      <w:r w:rsidR="00451856" w:rsidRPr="004B7BD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2A45E8" w:rsidRPr="004B7BDE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51856" w:rsidRPr="004B7BDE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E649E" w:rsidRPr="004B7BDE">
        <w:rPr>
          <w:rFonts w:ascii="Arial" w:eastAsia="Arial" w:hAnsi="Arial" w:cs="Arial"/>
          <w:b/>
          <w:color w:val="auto"/>
          <w:sz w:val="24"/>
          <w:szCs w:val="24"/>
        </w:rPr>
        <w:t>7,021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4B7BDE">
        <w:rPr>
          <w:rFonts w:ascii="Arial" w:eastAsia="Arial" w:hAnsi="Arial" w:cs="Arial"/>
          <w:color w:val="auto"/>
          <w:sz w:val="24"/>
          <w:szCs w:val="24"/>
        </w:rPr>
        <w:t>3</w:t>
      </w:r>
      <w:r w:rsidRPr="004B7BDE">
        <w:rPr>
          <w:rFonts w:ascii="Arial" w:eastAsia="Arial" w:hAnsi="Arial" w:cs="Arial"/>
          <w:color w:val="auto"/>
          <w:sz w:val="24"/>
          <w:szCs w:val="24"/>
        </w:rPr>
        <w:t>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C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B7BD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8B3830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4967"/>
        <w:gridCol w:w="2742"/>
        <w:gridCol w:w="3294"/>
        <w:gridCol w:w="3850"/>
      </w:tblGrid>
      <w:tr w:rsidR="002A45E8" w:rsidRPr="002A45E8" w:rsidTr="002A45E8">
        <w:trPr>
          <w:trHeight w:val="20"/>
        </w:trPr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45E8" w:rsidRPr="002A45E8" w:rsidRDefault="002A45E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45E8" w:rsidRPr="002A45E8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45E8"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45E8"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45E8"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45E8"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E8" w:rsidRPr="002A45E8" w:rsidRDefault="002A45E8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45E8"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45E8"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A45E8"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E649E" w:rsidRPr="00FA489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E649E" w:rsidRPr="00FA4898" w:rsidRDefault="002E649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A4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716E21" w:rsidRPr="00FA4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A489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FA4898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898">
              <w:rPr>
                <w:rFonts w:ascii="Arial" w:hAnsi="Arial" w:cs="Arial"/>
                <w:b/>
                <w:sz w:val="20"/>
                <w:szCs w:val="20"/>
              </w:rPr>
              <w:t>7,861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FA4898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898">
              <w:rPr>
                <w:rFonts w:ascii="Arial" w:hAnsi="Arial" w:cs="Arial"/>
                <w:b/>
                <w:sz w:val="20"/>
                <w:szCs w:val="20"/>
              </w:rPr>
              <w:t>840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FA4898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528964010"/>
            <w:r w:rsidRPr="00FA4898">
              <w:rPr>
                <w:rFonts w:ascii="Arial" w:hAnsi="Arial" w:cs="Arial"/>
                <w:b/>
                <w:sz w:val="20"/>
                <w:szCs w:val="20"/>
              </w:rPr>
              <w:t>7,021</w:t>
            </w:r>
            <w:bookmarkEnd w:id="3"/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6,253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5,487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8B383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</w:tr>
    </w:tbl>
    <w:p w:rsidR="00035424" w:rsidRPr="00160A35" w:rsidRDefault="00035424" w:rsidP="008B383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716E21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875279" w:rsidRDefault="00875279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32AD5" w:rsidRDefault="00C32AD5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Pr="00160A35" w:rsidRDefault="00FC0FDC" w:rsidP="008B383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8B3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496"/>
        <w:gridCol w:w="2611"/>
        <w:gridCol w:w="2611"/>
        <w:gridCol w:w="2005"/>
        <w:gridCol w:w="2005"/>
        <w:gridCol w:w="3125"/>
      </w:tblGrid>
      <w:tr w:rsidR="000A3B03" w:rsidRPr="000A3B03" w:rsidTr="000A3B03">
        <w:trPr>
          <w:trHeight w:val="20"/>
        </w:trPr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3B03" w:rsidRPr="000A3B03" w:rsidRDefault="000A3B03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3B03" w:rsidRPr="000A3B03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0A3B03" w:rsidRPr="000A3B03" w:rsidTr="002E649E">
        <w:trPr>
          <w:trHeight w:val="20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B03" w:rsidRPr="000A3B03" w:rsidRDefault="000A3B03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0A3B03"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B7BDE" w:rsidRPr="00E05534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7BDE" w:rsidRPr="00E05534" w:rsidRDefault="004B7BD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5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716E21" w:rsidRPr="00E05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055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E05534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BDE" w:rsidRPr="00E05534">
              <w:rPr>
                <w:rFonts w:ascii="Arial" w:hAnsi="Arial" w:cs="Arial"/>
                <w:b/>
                <w:sz w:val="20"/>
                <w:szCs w:val="20"/>
              </w:rPr>
              <w:t>5,273,046.00</w:t>
            </w: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E05534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BDE" w:rsidRPr="00E05534">
              <w:rPr>
                <w:rFonts w:ascii="Arial" w:hAnsi="Arial" w:cs="Arial"/>
                <w:b/>
                <w:sz w:val="20"/>
                <w:szCs w:val="20"/>
              </w:rPr>
              <w:t>1,629,035.20</w:t>
            </w: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E05534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BDE" w:rsidRPr="00E05534">
              <w:rPr>
                <w:rFonts w:ascii="Arial" w:hAnsi="Arial" w:cs="Arial"/>
                <w:b/>
                <w:sz w:val="20"/>
                <w:szCs w:val="20"/>
              </w:rPr>
              <w:t>6,190.00</w:t>
            </w: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E05534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BDE" w:rsidRPr="00E05534">
              <w:rPr>
                <w:rFonts w:ascii="Arial" w:hAnsi="Arial" w:cs="Arial"/>
                <w:b/>
                <w:sz w:val="20"/>
                <w:szCs w:val="20"/>
              </w:rPr>
              <w:t>4,210.00</w:t>
            </w: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7BDE" w:rsidRPr="00E05534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7BDE" w:rsidRPr="00E05534">
              <w:rPr>
                <w:rFonts w:ascii="Arial" w:hAnsi="Arial" w:cs="Arial"/>
                <w:b/>
                <w:sz w:val="20"/>
                <w:szCs w:val="20"/>
              </w:rPr>
              <w:t>6,912,481.20</w:t>
            </w:r>
            <w:r w:rsidRPr="00E0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57,600.00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259,065.00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316,665.00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2,972,160.00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21,000.00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2,993,160.00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583,200.00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656,490.00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1,239,690.00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8,280.00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-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8,280.00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B7BDE" w:rsidRPr="000A3B03" w:rsidTr="004B7BD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BDE" w:rsidRPr="000A3B03" w:rsidRDefault="004B7BD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1,660,086.00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684,200.20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6,190.00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4,210.00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BDE" w:rsidRPr="004B7BDE" w:rsidRDefault="00716E21" w:rsidP="008B3830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B7BDE" w:rsidRPr="004B7BDE">
              <w:rPr>
                <w:rFonts w:ascii="Arial" w:hAnsi="Arial" w:cs="Arial"/>
                <w:i/>
                <w:sz w:val="20"/>
                <w:szCs w:val="20"/>
              </w:rPr>
              <w:t>2,354,686.20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2E649E" w:rsidRDefault="00035424" w:rsidP="008B3830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8B3830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716E21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8B383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8B383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0D145D" w:rsidRPr="000D145D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0D145D" w:rsidRDefault="006C0709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0D145D">
              <w:rPr>
                <w:rFonts w:ascii="Arial" w:hAnsi="Arial" w:cs="Arial"/>
                <w:color w:val="0070C0"/>
                <w:sz w:val="20"/>
                <w:szCs w:val="24"/>
              </w:rPr>
              <w:t>November</w:t>
            </w:r>
            <w:r w:rsidR="00716E21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3A4E80" w:rsidRPr="000D145D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="00FC0FDC" w:rsidRPr="000D145D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716E21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FC0FDC" w:rsidRPr="000D145D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0D145D" w:rsidRDefault="00747259" w:rsidP="008B383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DSWD-NRLMS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staff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24/7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duty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coordinate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16E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D145D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B02256" w:rsidRDefault="006B2F81" w:rsidP="008B3830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E142AB" w:rsidRPr="006B2F81" w:rsidRDefault="00E142AB" w:rsidP="008B3830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FC0FDC" w:rsidRPr="002F1245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A4E80" w:rsidRPr="003A4E80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3A4E80" w:rsidRDefault="00213305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A4E80">
              <w:rPr>
                <w:rFonts w:ascii="Arial" w:hAnsi="Arial" w:cs="Arial"/>
                <w:color w:val="0070C0"/>
                <w:sz w:val="20"/>
                <w:szCs w:val="24"/>
              </w:rPr>
              <w:t>November</w:t>
            </w:r>
            <w:r w:rsidR="00716E21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="00FC0FDC" w:rsidRPr="003A4E80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716E21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FC0FDC" w:rsidRPr="003A4E80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40F7D" w:rsidRPr="003A4E80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Continuous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coordination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with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SWAD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Team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members.</w:t>
            </w:r>
          </w:p>
          <w:p w:rsidR="00540F7D" w:rsidRPr="003A4E80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Ongoing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validation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data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received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from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Provincial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Operations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Centers.</w:t>
            </w:r>
          </w:p>
          <w:p w:rsidR="00540F7D" w:rsidRPr="00533B6D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Continuous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activation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DSWD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QRT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Provincial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SWAD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Teams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render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24/7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duty,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monitor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report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situations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their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respective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areas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responsibility.</w:t>
            </w:r>
          </w:p>
          <w:p w:rsidR="00540F7D" w:rsidRPr="00533B6D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Municipal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Action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Team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(MAT)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leaders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are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different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affected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municipalities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leading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provision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assistance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assessment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situation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basis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providing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necessary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interventions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or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services.</w:t>
            </w:r>
          </w:p>
          <w:p w:rsidR="00540F7D" w:rsidRPr="00533B6D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Financial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assistance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amounting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₱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5,000.00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will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given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each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bereaved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Natonin,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</w:t>
            </w:r>
            <w:r w:rsidR="00533B6D"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ountain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Province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aside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from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actual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burial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assistance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that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will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paid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nearest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funeral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parlor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Alfonso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Lista,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Ifugao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that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willing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embalming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Natonin,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Mountain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533B6D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Province.</w:t>
            </w:r>
          </w:p>
          <w:p w:rsidR="00540F7D" w:rsidRPr="003A4E80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Coordinated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with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Tactical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Operations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Group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1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for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airlifting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3,000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33B6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packs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from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Lagawe,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Ifugao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Natonin,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7C79F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Mountain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Province.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PNP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Lagawe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haul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goods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from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Provincial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SWAD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8C5037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Office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identified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landing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area.</w:t>
            </w:r>
          </w:p>
          <w:p w:rsidR="00540F7D" w:rsidRPr="003A4E80" w:rsidRDefault="00540F7D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lastRenderedPageBreak/>
              <w:t>1,000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FFPs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delivered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today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Paracelis,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Mountain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Province;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Office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Civil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Defense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CAR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provide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logistics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haul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transport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goods.</w:t>
            </w:r>
          </w:p>
          <w:p w:rsidR="00FC0FDC" w:rsidRPr="003A4E80" w:rsidRDefault="008C5037" w:rsidP="008B383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Continuous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monitoring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Evacuation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Centers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Tuba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Itogon,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Benguet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Sabangan,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Mountain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Province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by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CAR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DReMD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staff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QRT</w:t>
            </w:r>
            <w:r w:rsidR="00716E2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="00540F7D" w:rsidRPr="003A4E80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members.</w:t>
            </w:r>
          </w:p>
        </w:tc>
      </w:tr>
    </w:tbl>
    <w:p w:rsidR="00E142AB" w:rsidRDefault="00E142AB" w:rsidP="008B38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41109" w:rsidRPr="002F1245" w:rsidRDefault="00F41109" w:rsidP="008B38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716E21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41109" w:rsidRPr="005A2E33" w:rsidTr="00F4110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41109" w:rsidRPr="00494873" w:rsidTr="00F4110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8B38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8B38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identified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displaced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persons.</w:t>
            </w:r>
          </w:p>
          <w:p w:rsidR="00F41109" w:rsidRPr="00494873" w:rsidRDefault="00F41109" w:rsidP="008B38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DRMT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still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closely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coordinating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their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respective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counterparts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status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716E21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individuals.</w:t>
            </w:r>
          </w:p>
        </w:tc>
      </w:tr>
    </w:tbl>
    <w:p w:rsidR="00FC0FDC" w:rsidRDefault="00FC0FDC" w:rsidP="008B383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952A2" w:rsidRPr="002F1245" w:rsidRDefault="007952A2" w:rsidP="008B383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8B383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8B383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Default="00FC0FDC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B2F81" w:rsidRPr="002F1245" w:rsidRDefault="006B2F81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574681" w:rsidP="008B383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</w:t>
      </w:r>
      <w:r w:rsidR="00716E21">
        <w:rPr>
          <w:rFonts w:ascii="Arial" w:eastAsia="Arial" w:hAnsi="Arial" w:cs="Arial"/>
          <w:b/>
          <w:sz w:val="24"/>
          <w:szCs w:val="24"/>
        </w:rPr>
        <w:t xml:space="preserve"> </w:t>
      </w:r>
      <w:r w:rsidR="00F60281">
        <w:rPr>
          <w:rFonts w:ascii="Arial" w:eastAsia="Arial" w:hAnsi="Arial" w:cs="Arial"/>
          <w:b/>
          <w:sz w:val="24"/>
          <w:szCs w:val="24"/>
        </w:rPr>
        <w:t>B.</w:t>
      </w:r>
      <w:r w:rsidR="00716E21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FERRARIZ</w:t>
      </w:r>
    </w:p>
    <w:p w:rsidR="00B25B7A" w:rsidRDefault="00FC0FDC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875279" w:rsidRDefault="00875279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5A024F" w:rsidRDefault="005A024F" w:rsidP="008B38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FC0FDC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63665E" w:rsidRDefault="0063665E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6"/>
        <w:gridCol w:w="7230"/>
        <w:gridCol w:w="2835"/>
        <w:gridCol w:w="2379"/>
        <w:gridCol w:w="2379"/>
      </w:tblGrid>
      <w:tr w:rsidR="00F60281" w:rsidRPr="00F60281" w:rsidTr="00F60281">
        <w:trPr>
          <w:trHeight w:val="20"/>
          <w:tblHeader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716E2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716E2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716E2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716E2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  <w:tblHeader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60,341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229,788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3,638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1,507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42,641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165,686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14,495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2,777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34,824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137,637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14,531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4,560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11,876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17,374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4,942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22,009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5,151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2,251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21,808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6,825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21,493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Zambales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8,476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34,391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3,343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15,121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9,450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1,181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4,641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716E2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F60281" w:rsidRPr="00F60281" w:rsidTr="00F60281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F6028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6028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281" w:rsidRPr="00F60281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60281" w:rsidRPr="00F6028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9535AC" w:rsidRDefault="009535A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F7D9D" w:rsidRDefault="00DF7D9D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183"/>
        <w:gridCol w:w="628"/>
        <w:gridCol w:w="690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17"/>
        <w:gridCol w:w="873"/>
        <w:gridCol w:w="864"/>
        <w:gridCol w:w="718"/>
        <w:gridCol w:w="617"/>
        <w:gridCol w:w="809"/>
        <w:gridCol w:w="617"/>
      </w:tblGrid>
      <w:tr w:rsidR="00DF7D9D" w:rsidRPr="00EB2655" w:rsidTr="00EB2655">
        <w:trPr>
          <w:trHeight w:val="20"/>
          <w:tblHeader/>
        </w:trPr>
        <w:tc>
          <w:tcPr>
            <w:tcW w:w="9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PROVINCE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/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MUNICIPALITY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  <w:tblHeader/>
        </w:trPr>
        <w:tc>
          <w:tcPr>
            <w:tcW w:w="9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 w:rsidR="00716E2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1,207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29,468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110,132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29,333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109,666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23,589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88,339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87,956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52,984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198,471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6,109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FERNANDO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Nicolas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22,105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86,225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22,104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86,221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17,184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66,026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17,184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66,026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39,289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152,251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4,082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14,012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2,777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3,819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Niño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17,001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68,684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68,684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15,808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60,825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15,808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60,825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32,809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129,509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14,630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14,531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  <w:r w:rsidR="00716E2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10,960</w:t>
            </w:r>
            <w:r w:rsidR="00716E2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10,960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11,766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Albano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  <w:r w:rsidR="00716E21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3,585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18,889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18,889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4,960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22,009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5,139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21,749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21,434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9,543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10,951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3,043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10,581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1,691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7,007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1,676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6,936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4,772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17,958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1,876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930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172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537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1,078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3,391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3,094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4,745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Trinidad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(Potia)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1,077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1,077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3,880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364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1,989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1,441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5,869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1,699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(Liwan)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of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1,986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</w:t>
            </w:r>
            <w:r w:rsidR="00716E2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1,443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1,370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2,507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621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2,448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1,028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3,950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r w:rsidR="00716E21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2,739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F7D9D" w:rsidRPr="00EB2655" w:rsidTr="00EB2655">
        <w:trPr>
          <w:trHeight w:val="20"/>
        </w:trPr>
        <w:tc>
          <w:tcPr>
            <w:tcW w:w="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DF7D9D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EB265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D9D" w:rsidRPr="00EB2655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F7D9D" w:rsidRPr="00EB265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D7014" w:rsidRDefault="008D7014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"/>
        <w:gridCol w:w="8215"/>
        <w:gridCol w:w="1874"/>
        <w:gridCol w:w="2225"/>
        <w:gridCol w:w="2548"/>
      </w:tblGrid>
      <w:tr w:rsidR="005202B5" w:rsidRPr="008B3830" w:rsidTr="008B3830">
        <w:trPr>
          <w:trHeight w:val="20"/>
          <w:tblHeader/>
        </w:trPr>
        <w:tc>
          <w:tcPr>
            <w:tcW w:w="28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</w:p>
        </w:tc>
        <w:tc>
          <w:tcPr>
            <w:tcW w:w="216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</w:p>
        </w:tc>
      </w:tr>
      <w:tr w:rsidR="005202B5" w:rsidRPr="008B3830" w:rsidTr="008B3830">
        <w:trPr>
          <w:trHeight w:val="20"/>
          <w:tblHeader/>
        </w:trPr>
        <w:tc>
          <w:tcPr>
            <w:tcW w:w="2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7,861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7,021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6,253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766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5,487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5,937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732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5,205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1,071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419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2,315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159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106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282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644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769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332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371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362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5202B5" w:rsidRPr="008B3830" w:rsidTr="008B3830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5202B5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5202B5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B3830" w:rsidRDefault="008B3830" w:rsidP="008B383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724AC2" w:rsidRDefault="00FC0FDC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8B3830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"/>
        <w:gridCol w:w="5126"/>
        <w:gridCol w:w="2131"/>
        <w:gridCol w:w="2131"/>
        <w:gridCol w:w="1573"/>
        <w:gridCol w:w="1573"/>
        <w:gridCol w:w="2466"/>
      </w:tblGrid>
      <w:tr w:rsidR="0012057E" w:rsidRPr="008B3830" w:rsidTr="008B3830">
        <w:trPr>
          <w:trHeight w:val="20"/>
          <w:tblHeader/>
        </w:trPr>
        <w:tc>
          <w:tcPr>
            <w:tcW w:w="17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</w:p>
        </w:tc>
        <w:tc>
          <w:tcPr>
            <w:tcW w:w="320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COST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ASSISTANCE</w:t>
            </w:r>
          </w:p>
        </w:tc>
      </w:tr>
      <w:tr w:rsidR="0012057E" w:rsidRPr="008B3830" w:rsidTr="008B3830">
        <w:trPr>
          <w:trHeight w:val="20"/>
          <w:tblHeader/>
        </w:trPr>
        <w:tc>
          <w:tcPr>
            <w:tcW w:w="17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</w:t>
            </w:r>
            <w:r w:rsidR="00716E21"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5,273,046.00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1,629,035.20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6,190.00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4,210.00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6,912,481.20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57,600.00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259,065.00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316,665.00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57,600.00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259,065.00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316,665.00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51,975.00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51,975.00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57,600.00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15,600.00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189,150.00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189,150.00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2,972,160.00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21,000.00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2,993,160.00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2,448,000.00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2,448,000.00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326,160.00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21,000.00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347,160.00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124,200.00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124,200.00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20,520.00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20,520.00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10,500.00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10,500.00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35,280.00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35,280.00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Quirino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198,000.00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198,000.00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583,200.00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656,490.00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1,239,690.00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583,200.00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636,890.00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1,220,090.00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24,120.00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24,120.00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188,280.00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132,240.00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320,520.00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87,690.00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87,690.00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219,600.00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279,600.00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151,200.00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156,960.00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308,160.00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19,600.00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19,600.00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8,280.00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8,280.00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8,280.00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8,280.00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8,280.00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8,280.00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1,660,086.00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684,200.20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6,190.00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4,210.00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2,354,686.20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284,812.00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100,739.00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386,451.00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284,812.00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70,339.00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356,051.00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(Licuan)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192,258.00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22,000.00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214,258.00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75,548.00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75,548.00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5,970.00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5,970.00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7,920.00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7,920.00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22,000.00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22,000.00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8,320.00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8,320.00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94,500.00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94,500.00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401,015.25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77,040.00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5,290.00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487,255.25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77,040.00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5,290.00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3,910.00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86,240.00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324,197.25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324,197.25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76,818.00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76,818.00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163,374.00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1,250.00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164,624.00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32,769.25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32,769.25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112,216.25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112,216.25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18,388.50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19,638.50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137,114.25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483,171.20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300.00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620,585.45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10,955.20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10,955.20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11,193.00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93,000.00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104,193.00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125,921.25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379,216.00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505,437.25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716E21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481,512.50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481,512.50</w:t>
            </w:r>
            <w:r w:rsidRPr="008B38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5,596.50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5,596.50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r w:rsidR="00716E21"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11,487.00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11,487.00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6,562.50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6,562.50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251,007.50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251,007.50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18,808.50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18,808.50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53,269.75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53,269.75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13,991.25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13,991.25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54,188.00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54,188.00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13,591.50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13,591.50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2057E" w:rsidRPr="008B3830" w:rsidTr="008B3830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12057E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53,010.00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57E" w:rsidRPr="008B3830" w:rsidRDefault="00716E21" w:rsidP="008B383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2057E"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53,010.00</w:t>
            </w:r>
            <w:r w:rsidRPr="008B383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24AC2" w:rsidRPr="002F1245" w:rsidRDefault="00724AC2" w:rsidP="008B383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Default="00D60185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6" w:name="_GoBack"/>
      <w:bookmarkEnd w:id="6"/>
    </w:p>
    <w:p w:rsidR="00D60185" w:rsidRPr="002F1245" w:rsidRDefault="00D60185" w:rsidP="008B383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47" w:rsidRDefault="00607A47">
      <w:pPr>
        <w:spacing w:after="0" w:line="240" w:lineRule="auto"/>
      </w:pPr>
      <w:r>
        <w:separator/>
      </w:r>
    </w:p>
  </w:endnote>
  <w:endnote w:type="continuationSeparator" w:id="0">
    <w:p w:rsidR="00607A47" w:rsidRDefault="0060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9D" w:rsidRPr="00616ED8" w:rsidRDefault="00DF7D9D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DF7D9D" w:rsidRDefault="00DF7D9D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8B3830"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8B3830"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#21 on Typhoon “ROSITA” [I.N. YUTU] as of 3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12NN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47" w:rsidRDefault="00607A47">
      <w:pPr>
        <w:spacing w:after="0" w:line="240" w:lineRule="auto"/>
      </w:pPr>
      <w:r>
        <w:separator/>
      </w:r>
    </w:p>
  </w:footnote>
  <w:footnote w:type="continuationSeparator" w:id="0">
    <w:p w:rsidR="00607A47" w:rsidRDefault="00607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D9D" w:rsidRDefault="00DF7D9D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D9D" w:rsidRDefault="00DF7D9D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F7D9D" w:rsidRDefault="00DF7D9D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DF7D9D" w:rsidRPr="006A0C8C" w:rsidRDefault="00DF7D9D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6278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15A2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192A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2B5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2B5"/>
    <w:rsid w:val="0052065E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681"/>
    <w:rsid w:val="005749A6"/>
    <w:rsid w:val="005765D4"/>
    <w:rsid w:val="00580432"/>
    <w:rsid w:val="0058082D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9F0"/>
    <w:rsid w:val="008C0099"/>
    <w:rsid w:val="008C19A5"/>
    <w:rsid w:val="008C3764"/>
    <w:rsid w:val="008C4126"/>
    <w:rsid w:val="008C5037"/>
    <w:rsid w:val="008C5231"/>
    <w:rsid w:val="008D2A3A"/>
    <w:rsid w:val="008D7014"/>
    <w:rsid w:val="008D71CB"/>
    <w:rsid w:val="008D7289"/>
    <w:rsid w:val="008E01C2"/>
    <w:rsid w:val="008E3090"/>
    <w:rsid w:val="008E4DF8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0DFF"/>
    <w:rsid w:val="00A24871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28CC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72D7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77A0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6CF8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B57"/>
    <w:rsid w:val="00E72E81"/>
    <w:rsid w:val="00E7381D"/>
    <w:rsid w:val="00E73F72"/>
    <w:rsid w:val="00E759C3"/>
    <w:rsid w:val="00E75A0C"/>
    <w:rsid w:val="00E7649F"/>
    <w:rsid w:val="00E76ECE"/>
    <w:rsid w:val="00E8358B"/>
    <w:rsid w:val="00E8358D"/>
    <w:rsid w:val="00E8408C"/>
    <w:rsid w:val="00E8443D"/>
    <w:rsid w:val="00E85B44"/>
    <w:rsid w:val="00E86584"/>
    <w:rsid w:val="00E86B85"/>
    <w:rsid w:val="00E86DCE"/>
    <w:rsid w:val="00E90FE4"/>
    <w:rsid w:val="00E91E16"/>
    <w:rsid w:val="00E9206E"/>
    <w:rsid w:val="00EA0A6E"/>
    <w:rsid w:val="00EA0E55"/>
    <w:rsid w:val="00EA1D50"/>
    <w:rsid w:val="00EA2336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260B"/>
    <w:rsid w:val="00EE66F7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E3A0-8F7C-47AC-979B-B9E15A42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6405</Words>
  <Characters>36514</Characters>
  <Application>Microsoft Office Word</Application>
  <DocSecurity>0</DocSecurity>
  <Lines>304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22</cp:revision>
  <dcterms:created xsi:type="dcterms:W3CDTF">2018-11-02T21:00:00Z</dcterms:created>
  <dcterms:modified xsi:type="dcterms:W3CDTF">2018-11-03T03:32:00Z</dcterms:modified>
</cp:coreProperties>
</file>