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9573BE">
        <w:rPr>
          <w:rFonts w:ascii="Arial" w:eastAsia="Arial" w:hAnsi="Arial" w:cs="Arial"/>
          <w:b/>
          <w:sz w:val="32"/>
          <w:szCs w:val="24"/>
        </w:rPr>
        <w:t>2</w:t>
      </w:r>
      <w:r w:rsidR="00962667">
        <w:rPr>
          <w:rFonts w:ascii="Arial" w:eastAsia="Arial" w:hAnsi="Arial" w:cs="Arial"/>
          <w:b/>
          <w:sz w:val="32"/>
          <w:szCs w:val="24"/>
        </w:rPr>
        <w:t>5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895253">
        <w:rPr>
          <w:rFonts w:ascii="Arial" w:eastAsia="Arial" w:hAnsi="Arial" w:cs="Arial"/>
          <w:sz w:val="24"/>
          <w:szCs w:val="24"/>
        </w:rPr>
        <w:t>4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962667">
        <w:rPr>
          <w:rFonts w:ascii="Arial" w:eastAsia="Arial" w:hAnsi="Arial" w:cs="Arial"/>
          <w:sz w:val="24"/>
          <w:szCs w:val="24"/>
        </w:rPr>
        <w:t>6PM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F0CCE" w:rsidRPr="00AF0CCE">
        <w:rPr>
          <w:rFonts w:ascii="Arial" w:eastAsia="Times New Roman" w:hAnsi="Arial" w:cs="Arial"/>
          <w:b/>
          <w:bCs/>
          <w:color w:val="0070C0"/>
          <w:sz w:val="24"/>
          <w:szCs w:val="24"/>
        </w:rPr>
        <w:t>65,309</w:t>
      </w:r>
      <w:r w:rsidR="00571B5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F0CCE" w:rsidRPr="00AF0CCE">
        <w:rPr>
          <w:rFonts w:ascii="Arial" w:eastAsia="Times New Roman" w:hAnsi="Arial" w:cs="Arial"/>
          <w:b/>
          <w:bCs/>
          <w:color w:val="0070C0"/>
          <w:sz w:val="24"/>
          <w:szCs w:val="24"/>
        </w:rPr>
        <w:t>254,300</w:t>
      </w:r>
      <w:r w:rsidR="00571B5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F0CCE" w:rsidRPr="00AF0CCE">
        <w:rPr>
          <w:rFonts w:ascii="Arial" w:eastAsia="Arial" w:hAnsi="Arial" w:cs="Arial"/>
          <w:b/>
          <w:color w:val="0070C0"/>
          <w:sz w:val="24"/>
          <w:szCs w:val="24"/>
        </w:rPr>
        <w:t>1,381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F0CC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254645">
        <w:rPr>
          <w:rFonts w:ascii="Arial" w:eastAsia="Arial" w:hAnsi="Arial" w:cs="Arial"/>
          <w:b/>
          <w:color w:val="auto"/>
          <w:sz w:val="24"/>
          <w:szCs w:val="24"/>
        </w:rPr>
        <w:t>197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699"/>
        <w:gridCol w:w="2980"/>
        <w:gridCol w:w="1836"/>
        <w:gridCol w:w="1836"/>
        <w:gridCol w:w="1836"/>
        <w:gridCol w:w="1833"/>
        <w:gridCol w:w="1833"/>
      </w:tblGrid>
      <w:tr w:rsidR="00AF0CCE" w:rsidRPr="00AF0CCE" w:rsidTr="00AF0CCE">
        <w:trPr>
          <w:trHeight w:val="20"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65,309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254,300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42,641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165,686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F0CCE" w:rsidRPr="00AF0CCE" w:rsidTr="00AF0CCE">
        <w:trPr>
          <w:trHeight w:val="2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AF0CCE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13,444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CE" w:rsidRPr="00AF0CCE" w:rsidRDefault="00571B57" w:rsidP="00AF0C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F0CCE" w:rsidRPr="00AF0CC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58,903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70"/>
        <w:gridCol w:w="628"/>
        <w:gridCol w:w="688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7"/>
        <w:gridCol w:w="873"/>
        <w:gridCol w:w="864"/>
        <w:gridCol w:w="718"/>
        <w:gridCol w:w="618"/>
        <w:gridCol w:w="809"/>
        <w:gridCol w:w="617"/>
      </w:tblGrid>
      <w:tr w:rsidR="00571B57" w:rsidRPr="00571B57" w:rsidTr="00571B57">
        <w:trPr>
          <w:trHeight w:val="20"/>
          <w:tblHeader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1B57" w:rsidRPr="00571B57" w:rsidTr="00571B57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1B57" w:rsidRPr="00571B57" w:rsidTr="00571B57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1B57" w:rsidRPr="00571B57" w:rsidTr="00571B57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1B57" w:rsidRPr="00571B57" w:rsidTr="00571B57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110,355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29,336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109,889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23,671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88,709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88,331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53,069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198,843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1B57" w:rsidRPr="00571B57" w:rsidTr="00571B57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</w:rPr>
              <w:t xml:space="preserve"> 1,527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</w:rPr>
              <w:t xml:space="preserve"> 4,794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</w:rPr>
              <w:t xml:space="preserve"> 420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</w:rPr>
              <w:t xml:space="preserve"> 1,315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571B57" w:rsidRPr="00571B57" w:rsidTr="00571B57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784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22,105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86,225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22,104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86,221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17,184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66,026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17,184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66,026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39,289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152,251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 </w:t>
            </w:r>
          </w:p>
        </w:tc>
      </w:tr>
      <w:tr w:rsidR="00571B57" w:rsidRPr="00571B57" w:rsidTr="00571B57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571B57" w:rsidRPr="00571B57" w:rsidTr="00571B57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571B57" w:rsidRPr="00571B57" w:rsidTr="00571B57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3,157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11,174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370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3,046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10,804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1,773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7,377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1,758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7,311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4,857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18,330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57" w:rsidRPr="00571B57" w:rsidRDefault="00571B57" w:rsidP="00571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571B5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436 </w:t>
            </w:r>
          </w:p>
        </w:tc>
      </w:tr>
    </w:tbl>
    <w:p w:rsidR="00FC0FDC" w:rsidRPr="002F1245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7,904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140D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140D55" w:rsidRPr="00140D55">
        <w:rPr>
          <w:rFonts w:ascii="Arial" w:eastAsia="Arial" w:hAnsi="Arial" w:cs="Arial"/>
          <w:b/>
          <w:color w:val="0070C0"/>
          <w:sz w:val="24"/>
          <w:szCs w:val="24"/>
        </w:rPr>
        <w:t>855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140D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40D55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7,049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140D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0D5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967"/>
        <w:gridCol w:w="2742"/>
        <w:gridCol w:w="3294"/>
        <w:gridCol w:w="3850"/>
      </w:tblGrid>
      <w:tr w:rsidR="00140D55" w:rsidRPr="00140D55" w:rsidTr="00140D55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7,904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855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7,049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19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2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17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6,253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766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5,487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675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31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644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109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5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104 </w:t>
            </w:r>
          </w:p>
        </w:tc>
      </w:tr>
      <w:tr w:rsidR="00140D55" w:rsidRPr="00140D55" w:rsidTr="00140D55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848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51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D55" w:rsidRPr="00140D55" w:rsidRDefault="00140D55" w:rsidP="00140D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40D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797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C32AD5" w:rsidRDefault="00C32AD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80"/>
        <w:gridCol w:w="2899"/>
        <w:gridCol w:w="2706"/>
        <w:gridCol w:w="1931"/>
        <w:gridCol w:w="1931"/>
        <w:gridCol w:w="3006"/>
      </w:tblGrid>
      <w:tr w:rsidR="00A24F20" w:rsidRPr="00A24F20" w:rsidTr="00E8119A">
        <w:trPr>
          <w:trHeight w:val="20"/>
          <w:tblHeader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24F20" w:rsidRPr="00A24F20" w:rsidTr="00E8119A">
        <w:trPr>
          <w:trHeight w:val="20"/>
          <w:tblHeader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24F20" w:rsidRPr="00A24F20" w:rsidTr="00A24F20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5,787,028.50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1,894,359.96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4,210.00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7,691,788.46 </w:t>
            </w:r>
          </w:p>
        </w:tc>
      </w:tr>
      <w:tr w:rsidR="00A24F20" w:rsidRPr="00A24F20" w:rsidTr="00A24F20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57,600.00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259,065.00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316,665.00 </w:t>
            </w:r>
          </w:p>
        </w:tc>
      </w:tr>
      <w:tr w:rsidR="00A24F20" w:rsidRPr="00A24F20" w:rsidTr="00A24F20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2,972,160.00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21,000.00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2,993,160.00 </w:t>
            </w:r>
          </w:p>
        </w:tc>
      </w:tr>
      <w:tr w:rsidR="00A24F20" w:rsidRPr="00A24F20" w:rsidTr="00A24F20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583,200.00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656,490.00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1,239,690.00 </w:t>
            </w:r>
          </w:p>
        </w:tc>
      </w:tr>
      <w:tr w:rsidR="00A24F20" w:rsidRPr="00A24F20" w:rsidTr="00A24F20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8,280.00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8,280.00 </w:t>
            </w:r>
          </w:p>
        </w:tc>
      </w:tr>
      <w:tr w:rsidR="00A24F20" w:rsidRPr="00A24F20" w:rsidTr="00A24F20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2,174,068.50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949,524.96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6,190.00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4,210.00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20" w:rsidRPr="00A24F20" w:rsidRDefault="00A24F20" w:rsidP="00A24F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24F2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3,133,993.46 </w:t>
            </w:r>
          </w:p>
        </w:tc>
      </w:tr>
    </w:tbl>
    <w:p w:rsidR="002E649E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E32C6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6E32C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FC0FDC" w:rsidRPr="00895253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b/>
          <w:color w:val="auto"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895253" w:rsidRPr="0089525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213305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E32C6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6D49" w:rsidRDefault="00540F7D" w:rsidP="00FB22D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duty,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responsibility.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</w:p>
          <w:p w:rsidR="00540F7D" w:rsidRPr="00E96D49" w:rsidRDefault="00E96D49" w:rsidP="00FB22D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Centers.</w:t>
            </w:r>
          </w:p>
          <w:p w:rsidR="00FC0FDC" w:rsidRDefault="00540F7D" w:rsidP="00091866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Municipal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Action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(MAT)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leaders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different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affected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municipalities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leading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provision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assistance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assessment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basis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providing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necessary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interventions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services.</w:t>
            </w:r>
          </w:p>
          <w:p w:rsidR="00DB2765" w:rsidRPr="00091866" w:rsidRDefault="00DB2765" w:rsidP="00DB276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SWAD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Mountain 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 noted that the PLGU will haul family food packs from Lagawe,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Ifugao to Natonin,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Mountain 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Province. 1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,400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family food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packs from Lagawe, Ifugao to be brought to Anonat, Paracelis,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Mountain 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 which will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DB276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 distributed to neighboring barangays that are still isolated.</w:t>
            </w:r>
          </w:p>
        </w:tc>
      </w:tr>
    </w:tbl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GoBack"/>
      <w:bookmarkEnd w:id="5"/>
    </w:p>
    <w:p w:rsidR="00FC0FDC" w:rsidRPr="002F1245" w:rsidRDefault="0003628C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</w:t>
      </w:r>
      <w:r w:rsidR="00571B5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B.</w:t>
      </w:r>
      <w:r w:rsidR="00571B5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FERRARIZ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D534F4" w:rsidRDefault="00D534F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230"/>
        <w:gridCol w:w="2835"/>
        <w:gridCol w:w="2379"/>
        <w:gridCol w:w="2379"/>
      </w:tblGrid>
      <w:tr w:rsidR="009A5A42" w:rsidRPr="009A5A42" w:rsidTr="009A5A42">
        <w:trPr>
          <w:trHeight w:val="20"/>
          <w:tblHeader/>
        </w:trPr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571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571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571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571B5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  <w:tblHeader/>
        </w:trPr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65,309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254,300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42,641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165,686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34,824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137,637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58,903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5,890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27,695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571B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A5A42" w:rsidRPr="009A5A42" w:rsidTr="009A5A42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9A5A42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5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2" w:rsidRPr="009A5A42" w:rsidRDefault="00571B57" w:rsidP="009A5A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A5A42" w:rsidRPr="009A5A4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80C54" w:rsidRDefault="00B80C5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186"/>
        <w:gridCol w:w="628"/>
        <w:gridCol w:w="687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7"/>
        <w:gridCol w:w="873"/>
        <w:gridCol w:w="864"/>
        <w:gridCol w:w="718"/>
        <w:gridCol w:w="617"/>
        <w:gridCol w:w="809"/>
        <w:gridCol w:w="617"/>
      </w:tblGrid>
      <w:tr w:rsidR="00B80C54" w:rsidRPr="00B80C54" w:rsidTr="00B80C54">
        <w:trPr>
          <w:trHeight w:val="20"/>
          <w:tblHeader/>
        </w:trPr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571B5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29,471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110,355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29,336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109,889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23,671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88,709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88,331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53,069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198,843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FERNANDO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Nicolas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22,105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39,289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152,251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Niño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32,809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129,509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  <w:r w:rsidR="00571B5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  <w:r w:rsidR="00571B5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Albano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  <w:r w:rsidR="00571B5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11,174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7,377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1,758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7,311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4,857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18,330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Trinidad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6,245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</w:t>
            </w:r>
            <w:r w:rsidR="00571B5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1,029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3,946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r w:rsidR="00571B5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80C54" w:rsidRPr="00B80C54" w:rsidTr="00B80C54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B80C54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80C5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54" w:rsidRPr="00B80C54" w:rsidRDefault="00571B57" w:rsidP="00B80C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80C54" w:rsidRPr="00B80C5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975"/>
        <w:gridCol w:w="1884"/>
        <w:gridCol w:w="2262"/>
        <w:gridCol w:w="2644"/>
      </w:tblGrid>
      <w:tr w:rsidR="007C662C" w:rsidRPr="00967DC7" w:rsidTr="007C662C">
        <w:trPr>
          <w:trHeight w:val="20"/>
          <w:tblHeader/>
        </w:trPr>
        <w:tc>
          <w:tcPr>
            <w:tcW w:w="27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 NO. OF DAMAGED HOUSES </w:t>
            </w:r>
          </w:p>
        </w:tc>
      </w:tr>
      <w:tr w:rsidR="007C662C" w:rsidRPr="00967DC7" w:rsidTr="007C662C">
        <w:trPr>
          <w:trHeight w:val="20"/>
          <w:tblHeader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Totally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Partially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7,904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855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7,049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17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Ilocos Norte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  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Adams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 xml:space="preserve">              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Dingras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 xml:space="preserve">               -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 Union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16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Pugo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  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SAN FERNANDO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  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San Juan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  8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Pangasinan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   -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-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6,253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766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5,487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Isabela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5,937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732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5,205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Alicia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1,071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189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882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Angadanan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372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42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330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419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44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375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Benito Soliven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14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73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56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Cauayan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2,315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185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2,130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Jones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16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52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159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69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90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Naguilian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131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124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Palanan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882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75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807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Quirino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108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106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Ramon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247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84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163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Reina Mercedes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17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Nueva Vizcaya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316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34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282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Ambaguio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13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Kayapa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-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Solano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298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33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265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Villaverde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4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675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31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644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675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31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644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Casiguran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21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Dilasag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650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30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620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Dipaculao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3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104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Northern Samar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104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Catarman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81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Mapanas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10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Pambujan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13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848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51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797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Apayao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  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             6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Benguet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  7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Baguio City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Bakun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La Trinidad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5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Ifugao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350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18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332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Aguinaldo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Asipulo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85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Banaue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112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Hingyon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55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Hungduan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Kiangan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5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Lagawe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46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Mayoyao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18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Tinoc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4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Kalinga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114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24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 90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Balbalan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18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Lubuagan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44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Tanudan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13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Tinglayan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17 </w:t>
            </w:r>
          </w:p>
        </w:tc>
      </w:tr>
      <w:tr w:rsidR="007C662C" w:rsidRPr="00967DC7" w:rsidTr="007C662C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Mountain Province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371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       362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Natonin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297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290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Paracelis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19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Sadanga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31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Bauko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21 </w:t>
            </w:r>
          </w:p>
        </w:tc>
      </w:tr>
      <w:tr w:rsidR="007C662C" w:rsidRPr="00967DC7" w:rsidTr="007C662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Sabangan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62C" w:rsidRPr="007C662C" w:rsidRDefault="007C662C" w:rsidP="007C6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7C662C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             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4958"/>
        <w:gridCol w:w="2333"/>
        <w:gridCol w:w="2179"/>
        <w:gridCol w:w="1554"/>
        <w:gridCol w:w="1554"/>
        <w:gridCol w:w="2422"/>
      </w:tblGrid>
      <w:tr w:rsidR="00967DC7" w:rsidRPr="00967DC7" w:rsidTr="00967DC7">
        <w:trPr>
          <w:trHeight w:val="20"/>
          <w:tblHeader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67DC7" w:rsidRPr="00967DC7" w:rsidTr="00967DC7">
        <w:trPr>
          <w:trHeight w:val="20"/>
          <w:tblHeader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5,787,028.50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1,894,359.96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4,210.00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7,691,788.46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259,065.00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259,065.00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51,975.00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2,340.00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189,150.00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2,972,160.00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21,000.00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2,993,160.00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2,448,000.00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2,448,000.00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326,160.00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21,000.00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347,160.00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14,040.00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14,040.00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656,490.00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636,890.00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188,280.00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132,240.00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219,600.00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156,960.00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200,000.00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19,600.00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2,174,068.50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949,524.96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4,210.00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3,133,993.46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284,812.00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100,739.00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386,451.00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284,812.00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70,339.00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900.00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356,051.00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2,900.00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192,258.00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214,258.00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75,548.00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75,548.00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5,970.00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5,970.00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7,920.00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7,920.00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22,000.00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22,000.00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8,320.00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94,500.00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94,500.00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401,015.25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77,040.00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487,255.25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77,040.00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5,290.00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324,197.25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324,197.25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167,974.00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1,250.00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169,224.00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32,769.25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32,769.25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18,388.50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19,638.50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4,600.00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646,496.75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748,495.96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300.00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1,395,292.71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150,306.00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267,511.96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417,817.96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358,676.75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358,676.75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399.75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399.75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125,921.25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387,984.00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300.00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514,205.25 </w:t>
            </w:r>
          </w:p>
        </w:tc>
      </w:tr>
      <w:tr w:rsidR="00967DC7" w:rsidRPr="00967DC7" w:rsidTr="00967DC7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481,512.50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481,512.50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5,596.50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5,596.50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6,562.50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6,562.50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251,007.50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251,007.50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18,808.50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18,808.50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967DC7" w:rsidRPr="00967DC7" w:rsidTr="00967DC7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C7" w:rsidRPr="00967DC7" w:rsidRDefault="00967DC7" w:rsidP="00967DC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67DC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33" w:rsidRDefault="00431733">
      <w:pPr>
        <w:spacing w:after="0" w:line="240" w:lineRule="auto"/>
      </w:pPr>
      <w:r>
        <w:separator/>
      </w:r>
    </w:p>
  </w:endnote>
  <w:endnote w:type="continuationSeparator" w:id="0">
    <w:p w:rsidR="00431733" w:rsidRDefault="0043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8" w:rsidRPr="00616ED8" w:rsidRDefault="001873C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1873C8" w:rsidRDefault="001873C8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8119A">
      <w:rPr>
        <w:rFonts w:asciiTheme="majorHAnsi" w:hAnsiTheme="majorHAnsi" w:cstheme="majorHAnsi"/>
        <w:b/>
        <w:noProof/>
        <w:sz w:val="16"/>
        <w:szCs w:val="16"/>
      </w:rPr>
      <w:t>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8119A">
      <w:rPr>
        <w:rFonts w:asciiTheme="majorHAnsi" w:hAnsiTheme="majorHAnsi" w:cstheme="majorHAnsi"/>
        <w:b/>
        <w:noProof/>
        <w:sz w:val="16"/>
        <w:szCs w:val="16"/>
      </w:rPr>
      <w:t>23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 w:rsidR="00962667">
      <w:rPr>
        <w:rFonts w:ascii="Arial" w:eastAsia="Arial" w:hAnsi="Arial" w:cs="Arial"/>
        <w:sz w:val="16"/>
        <w:szCs w:val="16"/>
      </w:rPr>
      <w:t>Report #25</w:t>
    </w:r>
    <w:r>
      <w:rPr>
        <w:rFonts w:ascii="Arial" w:eastAsia="Arial" w:hAnsi="Arial" w:cs="Arial"/>
        <w:sz w:val="16"/>
        <w:szCs w:val="16"/>
      </w:rPr>
      <w:t xml:space="preserve"> on Typhoon “ROSITA” [I.N. YUTU] as of 4 November 2018, </w:t>
    </w:r>
    <w:r w:rsidR="00962667"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33" w:rsidRDefault="00431733">
      <w:pPr>
        <w:spacing w:after="0" w:line="240" w:lineRule="auto"/>
      </w:pPr>
      <w:r>
        <w:separator/>
      </w:r>
    </w:p>
  </w:footnote>
  <w:footnote w:type="continuationSeparator" w:id="0">
    <w:p w:rsidR="00431733" w:rsidRDefault="0043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8" w:rsidRDefault="001873C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3C8" w:rsidRDefault="001873C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73C8" w:rsidRDefault="001873C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873C8" w:rsidRPr="006A0C8C" w:rsidRDefault="001873C8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3DE9"/>
    <w:rsid w:val="001F3E7D"/>
    <w:rsid w:val="001F4A6C"/>
    <w:rsid w:val="001F4D6C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1733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9F0"/>
    <w:rsid w:val="008C0099"/>
    <w:rsid w:val="008C19A5"/>
    <w:rsid w:val="008C3764"/>
    <w:rsid w:val="008C4126"/>
    <w:rsid w:val="008C5037"/>
    <w:rsid w:val="008C5231"/>
    <w:rsid w:val="008D2A3A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B57"/>
    <w:rsid w:val="00E72E81"/>
    <w:rsid w:val="00E7381D"/>
    <w:rsid w:val="00E73F72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E16"/>
    <w:rsid w:val="00E9206E"/>
    <w:rsid w:val="00E96D49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1643-F065-46CA-85B4-21CF2DBB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7320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16</cp:revision>
  <dcterms:created xsi:type="dcterms:W3CDTF">2018-11-04T09:18:00Z</dcterms:created>
  <dcterms:modified xsi:type="dcterms:W3CDTF">2018-11-04T10:10:00Z</dcterms:modified>
</cp:coreProperties>
</file>