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9C4896" w:rsidRDefault="00FB3CED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DSWD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DROMIC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Report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#</w:t>
      </w:r>
      <w:r w:rsidR="008E0E50" w:rsidRPr="009C4896">
        <w:rPr>
          <w:rFonts w:ascii="Arial" w:eastAsia="Arial" w:hAnsi="Arial" w:cs="Arial"/>
          <w:b/>
          <w:sz w:val="32"/>
          <w:szCs w:val="24"/>
        </w:rPr>
        <w:t>5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on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9C4896" w:rsidRDefault="0047604A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Tropical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Depression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9C4896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9C4896" w:rsidRDefault="00FB3CED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as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8E0E50" w:rsidRPr="009C4896">
        <w:rPr>
          <w:rFonts w:ascii="Arial" w:eastAsia="Arial" w:hAnsi="Arial" w:cs="Arial"/>
          <w:sz w:val="24"/>
          <w:szCs w:val="24"/>
        </w:rPr>
        <w:t>30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3C6D00" w:rsidRPr="009C4896">
        <w:rPr>
          <w:rFonts w:ascii="Arial" w:eastAsia="Arial" w:hAnsi="Arial" w:cs="Arial"/>
          <w:sz w:val="24"/>
          <w:szCs w:val="24"/>
        </w:rPr>
        <w:t>December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2018,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C9487F">
        <w:rPr>
          <w:rFonts w:ascii="Arial" w:eastAsia="Arial" w:hAnsi="Arial" w:cs="Arial"/>
          <w:sz w:val="24"/>
          <w:szCs w:val="24"/>
        </w:rPr>
        <w:t>6</w:t>
      </w:r>
      <w:r w:rsidRPr="009C4896">
        <w:rPr>
          <w:rFonts w:ascii="Arial" w:eastAsia="Arial" w:hAnsi="Arial" w:cs="Arial"/>
          <w:sz w:val="24"/>
          <w:szCs w:val="24"/>
        </w:rPr>
        <w:t>PM</w:t>
      </w:r>
    </w:p>
    <w:p w:rsidR="00FB3CED" w:rsidRDefault="00FB3CED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9C4896" w:rsidRPr="009C4896" w:rsidRDefault="009C4896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FB3CED" w:rsidRPr="009C4896" w:rsidRDefault="00FB3CED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9C4896">
        <w:rPr>
          <w:rFonts w:ascii="Arial" w:hAnsi="Arial" w:cs="Arial"/>
          <w:b/>
          <w:color w:val="002060"/>
          <w:sz w:val="28"/>
        </w:rPr>
        <w:t>Situation</w:t>
      </w:r>
      <w:r w:rsidR="00652084">
        <w:rPr>
          <w:rFonts w:ascii="Arial" w:hAnsi="Arial" w:cs="Arial"/>
          <w:b/>
          <w:color w:val="002060"/>
          <w:sz w:val="28"/>
        </w:rPr>
        <w:t xml:space="preserve"> </w:t>
      </w:r>
      <w:r w:rsidRPr="009C4896">
        <w:rPr>
          <w:rFonts w:ascii="Arial" w:hAnsi="Arial" w:cs="Arial"/>
          <w:b/>
          <w:color w:val="002060"/>
          <w:sz w:val="28"/>
        </w:rPr>
        <w:t>Overview</w:t>
      </w:r>
    </w:p>
    <w:p w:rsidR="00EB786C" w:rsidRPr="009C4896" w:rsidRDefault="00EB786C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8E0E50" w:rsidRDefault="008E0E50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9C4896">
        <w:rPr>
          <w:rFonts w:ascii="Arial" w:hAnsi="Arial" w:cs="Arial"/>
        </w:rPr>
        <w:t>Tropical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Depression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“USMAN”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entered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the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Philippine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Area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of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Responsibility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(PAR)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on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25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December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2018.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It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has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made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landfall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in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the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vicinity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of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Borongan,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Eastern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Samar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and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has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weakened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into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a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Low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Pressure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Area</w:t>
      </w:r>
      <w:r w:rsidR="00652084">
        <w:rPr>
          <w:rFonts w:ascii="Arial" w:hAnsi="Arial" w:cs="Arial"/>
        </w:rPr>
        <w:t xml:space="preserve"> </w:t>
      </w:r>
      <w:r w:rsidRPr="009C4896">
        <w:rPr>
          <w:rFonts w:ascii="Arial" w:hAnsi="Arial" w:cs="Arial"/>
        </w:rPr>
        <w:t>(LPA)</w:t>
      </w:r>
      <w:r w:rsidR="00637D3F">
        <w:rPr>
          <w:rFonts w:ascii="Arial" w:hAnsi="Arial" w:cs="Arial"/>
        </w:rPr>
        <w:t xml:space="preserve"> on 29 December 2018</w:t>
      </w:r>
      <w:r w:rsidRPr="009C4896">
        <w:rPr>
          <w:rFonts w:ascii="Arial" w:hAnsi="Arial" w:cs="Arial"/>
        </w:rPr>
        <w:t>.</w:t>
      </w:r>
    </w:p>
    <w:p w:rsidR="008B20CF" w:rsidRDefault="008B20CF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:rsidR="008B20CF" w:rsidRPr="008716E2" w:rsidRDefault="00CE1420" w:rsidP="00EC712F">
      <w:pPr>
        <w:pStyle w:val="NormalWeb"/>
        <w:spacing w:beforeAutospacing="0" w:afterAutospacing="0" w:line="240" w:lineRule="auto"/>
        <w:contextualSpacing/>
        <w:jc w:val="both"/>
        <w:rPr>
          <w:rFonts w:ascii="Segoe UI Symbol" w:hAnsi="Segoe UI Symbol" w:cs="Arial"/>
          <w:noProof/>
          <w:lang w:val="en-PH" w:eastAsia="en-PH"/>
        </w:rPr>
      </w:pPr>
      <w:r>
        <w:rPr>
          <w:rFonts w:ascii="Arial" w:hAnsi="Arial" w:cs="Arial"/>
        </w:rPr>
        <w:t>Issued at 4PM today</w:t>
      </w:r>
      <w:r w:rsidR="008B20CF">
        <w:rPr>
          <w:rFonts w:ascii="Arial" w:hAnsi="Arial" w:cs="Arial"/>
        </w:rPr>
        <w:t>,</w:t>
      </w:r>
      <w:r w:rsidR="00652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Northeast Monsoon affecting Luzon</w:t>
      </w:r>
      <w:r w:rsidR="008716E2">
        <w:rPr>
          <w:rFonts w:ascii="Segoe UI Symbol" w:hAnsi="Segoe UI Symbol" w:cs="Arial"/>
        </w:rPr>
        <w:t>.</w:t>
      </w:r>
    </w:p>
    <w:p w:rsidR="008E0E50" w:rsidRPr="009C4896" w:rsidRDefault="008E0E50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noProof/>
          <w:sz w:val="16"/>
          <w:lang w:val="en-PH" w:eastAsia="en-PH"/>
        </w:rPr>
      </w:pPr>
    </w:p>
    <w:p w:rsidR="00EB786C" w:rsidRPr="009C4896" w:rsidRDefault="008E0E50" w:rsidP="00EC712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i/>
          <w:color w:val="0070C0"/>
          <w:sz w:val="16"/>
        </w:rPr>
      </w:pPr>
      <w:r w:rsidRPr="009C4896">
        <w:rPr>
          <w:rFonts w:ascii="Arial" w:hAnsi="Arial" w:cs="Arial"/>
          <w:i/>
          <w:noProof/>
          <w:color w:val="0070C0"/>
          <w:sz w:val="16"/>
          <w:lang w:val="en-PH" w:eastAsia="en-PH"/>
        </w:rPr>
        <w:t>Source:</w:t>
      </w:r>
      <w:r w:rsidR="00652084">
        <w:rPr>
          <w:rFonts w:ascii="Arial" w:hAnsi="Arial" w:cs="Arial"/>
          <w:i/>
          <w:noProof/>
          <w:color w:val="0070C0"/>
          <w:sz w:val="16"/>
          <w:lang w:val="en-PH" w:eastAsia="en-PH"/>
        </w:rPr>
        <w:t xml:space="preserve"> </w:t>
      </w:r>
      <w:hyperlink r:id="rId9" w:anchor="daily-weather-forecast" w:history="1">
        <w:r w:rsidRPr="009C4896">
          <w:rPr>
            <w:rStyle w:val="Hyperlink"/>
            <w:rFonts w:ascii="Arial" w:hAnsi="Arial" w:cs="Arial"/>
            <w:i/>
            <w:noProof/>
            <w:color w:val="0070C0"/>
            <w:sz w:val="16"/>
            <w:u w:val="none"/>
            <w:lang w:val="en-PH" w:eastAsia="en-PH"/>
          </w:rPr>
          <w:t>DOST-PAGASA</w:t>
        </w:r>
        <w:r w:rsidR="00652084">
          <w:rPr>
            <w:rStyle w:val="Hyperlink"/>
            <w:rFonts w:ascii="Arial" w:hAnsi="Arial" w:cs="Arial"/>
            <w:i/>
            <w:noProof/>
            <w:color w:val="0070C0"/>
            <w:sz w:val="16"/>
            <w:u w:val="none"/>
            <w:lang w:val="en-PH" w:eastAsia="en-PH"/>
          </w:rPr>
          <w:t xml:space="preserve"> </w:t>
        </w:r>
        <w:r w:rsidRPr="009C4896">
          <w:rPr>
            <w:rStyle w:val="Hyperlink"/>
            <w:rFonts w:ascii="Arial" w:hAnsi="Arial" w:cs="Arial"/>
            <w:i/>
            <w:noProof/>
            <w:color w:val="0070C0"/>
            <w:sz w:val="16"/>
            <w:u w:val="none"/>
            <w:lang w:val="en-PH" w:eastAsia="en-PH"/>
          </w:rPr>
          <w:t>Daily</w:t>
        </w:r>
        <w:r w:rsidR="00652084">
          <w:rPr>
            <w:rStyle w:val="Hyperlink"/>
            <w:rFonts w:ascii="Arial" w:hAnsi="Arial" w:cs="Arial"/>
            <w:i/>
            <w:noProof/>
            <w:color w:val="0070C0"/>
            <w:sz w:val="16"/>
            <w:u w:val="none"/>
            <w:lang w:val="en-PH" w:eastAsia="en-PH"/>
          </w:rPr>
          <w:t xml:space="preserve"> </w:t>
        </w:r>
        <w:r w:rsidRPr="009C4896">
          <w:rPr>
            <w:rStyle w:val="Hyperlink"/>
            <w:rFonts w:ascii="Arial" w:hAnsi="Arial" w:cs="Arial"/>
            <w:i/>
            <w:noProof/>
            <w:color w:val="0070C0"/>
            <w:sz w:val="16"/>
            <w:u w:val="none"/>
            <w:lang w:val="en-PH" w:eastAsia="en-PH"/>
          </w:rPr>
          <w:t>Weather</w:t>
        </w:r>
        <w:r w:rsidR="00652084">
          <w:rPr>
            <w:rStyle w:val="Hyperlink"/>
            <w:rFonts w:ascii="Arial" w:hAnsi="Arial" w:cs="Arial"/>
            <w:i/>
            <w:noProof/>
            <w:color w:val="0070C0"/>
            <w:sz w:val="16"/>
            <w:u w:val="none"/>
            <w:lang w:val="en-PH" w:eastAsia="en-PH"/>
          </w:rPr>
          <w:t xml:space="preserve"> </w:t>
        </w:r>
        <w:r w:rsidRPr="009C4896">
          <w:rPr>
            <w:rStyle w:val="Hyperlink"/>
            <w:rFonts w:ascii="Arial" w:hAnsi="Arial" w:cs="Arial"/>
            <w:i/>
            <w:noProof/>
            <w:color w:val="0070C0"/>
            <w:sz w:val="16"/>
            <w:u w:val="none"/>
            <w:lang w:val="en-PH" w:eastAsia="en-PH"/>
          </w:rPr>
          <w:t>Forecast</w:t>
        </w:r>
      </w:hyperlink>
    </w:p>
    <w:p w:rsidR="007B6A65" w:rsidRPr="009C4896" w:rsidRDefault="007B6A65" w:rsidP="00EC712F">
      <w:pPr>
        <w:pStyle w:val="NoSpacing1"/>
        <w:contextualSpacing/>
        <w:rPr>
          <w:rFonts w:ascii="Arial" w:hAnsi="Arial" w:cs="Arial"/>
          <w:i/>
          <w:color w:val="0070C0"/>
          <w:sz w:val="24"/>
          <w:szCs w:val="24"/>
        </w:rPr>
      </w:pPr>
    </w:p>
    <w:p w:rsidR="007B6A65" w:rsidRPr="009C4896" w:rsidRDefault="007B6A65" w:rsidP="00EC712F">
      <w:pPr>
        <w:pStyle w:val="NoSpacing1"/>
        <w:contextualSpacing/>
        <w:rPr>
          <w:rFonts w:ascii="Arial" w:hAnsi="Arial" w:cs="Arial"/>
          <w:i/>
          <w:color w:val="0070C0"/>
          <w:sz w:val="24"/>
          <w:szCs w:val="24"/>
        </w:rPr>
      </w:pPr>
    </w:p>
    <w:p w:rsidR="00FB1A27" w:rsidRPr="009C4896" w:rsidRDefault="00FB1A27" w:rsidP="00EC71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9C4896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color w:val="auto"/>
          <w:sz w:val="24"/>
          <w:szCs w:val="24"/>
        </w:rPr>
        <w:t>A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total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of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30,338 families</w:t>
      </w:r>
      <w:r w:rsidR="00BB7407" w:rsidRPr="00BB74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128,703</w:t>
      </w:r>
      <w:r w:rsidR="00BB7407" w:rsidRPr="00BB74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were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and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pro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9C4896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5447EC" w:rsidRPr="009C4896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CALABARZON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, and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MIMAROPA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1</w:t>
      </w:r>
      <w:r w:rsidR="002D6754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1C1B50">
        <w:rPr>
          <w:rFonts w:ascii="Arial" w:eastAsia="Arial" w:hAnsi="Arial" w:cs="Arial"/>
          <w:color w:val="auto"/>
          <w:sz w:val="24"/>
          <w:szCs w:val="24"/>
        </w:rPr>
        <w:t>Annex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for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9C4896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Pr="001B19C4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1B19C4">
        <w:rPr>
          <w:rFonts w:ascii="Arial" w:eastAsia="Arial" w:hAnsi="Arial" w:cs="Arial"/>
          <w:b/>
          <w:i/>
          <w:sz w:val="20"/>
          <w:szCs w:val="24"/>
        </w:rPr>
        <w:t>Table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1.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Areas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and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Number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of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/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Persons</w:t>
      </w:r>
      <w:r w:rsidR="00652084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189"/>
        <w:gridCol w:w="1648"/>
        <w:gridCol w:w="1687"/>
        <w:gridCol w:w="1648"/>
        <w:gridCol w:w="1339"/>
        <w:gridCol w:w="1336"/>
      </w:tblGrid>
      <w:tr w:rsidR="001C1B50" w:rsidRPr="001C1B50" w:rsidTr="00077542">
        <w:trPr>
          <w:trHeight w:val="20"/>
        </w:trPr>
        <w:tc>
          <w:tcPr>
            <w:tcW w:w="2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C1B50" w:rsidRPr="001C1B50" w:rsidRDefault="001C1B50" w:rsidP="000775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5208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77542" w:rsidRPr="001C1B50" w:rsidTr="00077542">
        <w:trPr>
          <w:trHeight w:val="20"/>
        </w:trPr>
        <w:tc>
          <w:tcPr>
            <w:tcW w:w="2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42" w:rsidRPr="001C1B50" w:rsidRDefault="00077542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77542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7542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77542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7542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7542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7542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77542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7542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77542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7542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77542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7542" w:rsidRPr="001C1B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C1B50" w:rsidRPr="001C1B50" w:rsidTr="00077542">
        <w:trPr>
          <w:trHeight w:val="20"/>
        </w:trPr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C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323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128,703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1B50" w:rsidRPr="001C1B50" w:rsidTr="00077542">
        <w:trPr>
          <w:trHeight w:val="2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339</w:t>
            </w:r>
            <w:r w:rsidR="0065208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C1B50" w:rsidRPr="001C1B50" w:rsidTr="00077542">
        <w:trPr>
          <w:trHeight w:val="2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988</w:t>
            </w:r>
            <w:r w:rsidR="0065208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3,675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C1B50" w:rsidRPr="001C1B50" w:rsidTr="00077542">
        <w:trPr>
          <w:trHeight w:val="2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5208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3,199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12,296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C1B50" w:rsidRPr="001C1B50" w:rsidTr="00077542">
        <w:trPr>
          <w:trHeight w:val="2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50" w:rsidRPr="001C1B50" w:rsidRDefault="001C1B50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5208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25,812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B50" w:rsidRPr="001C1B50" w:rsidRDefault="00652084" w:rsidP="001C1B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1C1B50" w:rsidRPr="001C1B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111,314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0338D" w:rsidRPr="00026410" w:rsidRDefault="00F0338D" w:rsidP="00026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0338D" w:rsidRPr="00F23136" w:rsidRDefault="00F0338D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C6007A" w:rsidRPr="00F23136" w:rsidRDefault="00FB1A2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F23136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C6007A" w:rsidRPr="009C4896" w:rsidRDefault="00C6007A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D07DB" w:rsidRDefault="009D07D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724CB" w:rsidRDefault="00FB1A27" w:rsidP="003724C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2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Annex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B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for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Default="003724CB" w:rsidP="003724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3724CB" w:rsidRDefault="003724CB" w:rsidP="003724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2.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Number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of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Served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/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Persons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Inside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and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Outside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328"/>
        <w:gridCol w:w="683"/>
        <w:gridCol w:w="748"/>
        <w:gridCol w:w="665"/>
        <w:gridCol w:w="665"/>
        <w:gridCol w:w="769"/>
        <w:gridCol w:w="769"/>
        <w:gridCol w:w="945"/>
        <w:gridCol w:w="937"/>
        <w:gridCol w:w="622"/>
        <w:gridCol w:w="657"/>
        <w:gridCol w:w="666"/>
        <w:gridCol w:w="654"/>
        <w:gridCol w:w="945"/>
        <w:gridCol w:w="937"/>
        <w:gridCol w:w="666"/>
        <w:gridCol w:w="666"/>
        <w:gridCol w:w="770"/>
        <w:gridCol w:w="761"/>
      </w:tblGrid>
      <w:tr w:rsidR="003724CB" w:rsidRPr="003724CB" w:rsidTr="003724CB">
        <w:trPr>
          <w:trHeight w:val="20"/>
          <w:tblHeader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724CB" w:rsidRPr="003724CB" w:rsidTr="003724CB">
        <w:trPr>
          <w:trHeight w:val="20"/>
          <w:tblHeader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724CB" w:rsidRPr="003724CB" w:rsidTr="003724CB">
        <w:trPr>
          <w:trHeight w:val="20"/>
          <w:tblHeader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724CB" w:rsidRPr="003724CB" w:rsidTr="003724CB">
        <w:trPr>
          <w:trHeight w:val="20"/>
          <w:tblHeader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 w:rsid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 w:rsid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 w:rsid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724CB" w:rsidRPr="003724CB" w:rsidTr="003724CB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</w:t>
            </w:r>
            <w:r w:rsid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5,703</w:t>
            </w:r>
            <w:r w:rsid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3,488</w:t>
            </w:r>
            <w:r w:rsid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21,803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13,469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2,215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8,334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2,379</w:t>
            </w:r>
            <w:r w:rsid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939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1,440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6,232</w:t>
            </w:r>
            <w:r w:rsid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3,677</w:t>
            </w:r>
            <w:r w:rsid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24,182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14,408</w:t>
            </w:r>
            <w:r w:rsid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24CB" w:rsidRPr="003724CB" w:rsidTr="003724CB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1,423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1,423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1,448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1,448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724CB" w:rsidRPr="003724CB" w:rsidTr="003724CB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906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677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3,261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2,434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229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827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989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760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3,675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2,848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724CB" w:rsidRPr="003724CB" w:rsidTr="003724CB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2,785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1,416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10,467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5,557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1,369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4,910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1,829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500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1,329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3,199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1,517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12,296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6,057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724CB" w:rsidRPr="003724CB" w:rsidTr="003724CB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1,678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1,061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6,652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4,055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617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2,597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1,705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3724CB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1,061</w:t>
            </w:r>
            <w:r w:rsidR="00652084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6,763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CB" w:rsidRPr="003724CB" w:rsidRDefault="00652084" w:rsidP="003724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3724CB" w:rsidRPr="003724CB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4,055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5447EC" w:rsidRDefault="005447EC" w:rsidP="004738C0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23136" w:rsidRPr="00F23136" w:rsidRDefault="00F23136" w:rsidP="00EC712F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F23136" w:rsidRDefault="00FB1A2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9C4896" w:rsidRDefault="003B108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FF486B" w:rsidRDefault="00B64311" w:rsidP="00FF486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FF486B" w:rsidRDefault="00B64311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Pr="00B64311">
        <w:rPr>
          <w:rFonts w:ascii="Arial" w:eastAsia="Arial" w:hAnsi="Arial" w:cs="Arial"/>
          <w:b/>
          <w:color w:val="0070C0"/>
          <w:sz w:val="24"/>
          <w:szCs w:val="24"/>
        </w:rPr>
        <w:t>13 damaged houses</w:t>
      </w:r>
      <w:r w:rsidRPr="00B643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reported in Regions VIII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>
        <w:rPr>
          <w:rFonts w:ascii="Arial" w:eastAsia="Arial" w:hAnsi="Arial" w:cs="Arial"/>
          <w:color w:val="auto"/>
          <w:sz w:val="24"/>
          <w:szCs w:val="24"/>
        </w:rPr>
        <w:t>CALABARZON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; of which, </w:t>
      </w:r>
      <w:r w:rsidRPr="00B64311">
        <w:rPr>
          <w:rFonts w:ascii="Arial" w:eastAsia="Arial" w:hAnsi="Arial" w:cs="Arial"/>
          <w:b/>
          <w:color w:val="0070C0"/>
          <w:sz w:val="24"/>
          <w:szCs w:val="24"/>
        </w:rPr>
        <w:t>6 houses are totally damaged</w:t>
      </w:r>
      <w:r w:rsidRPr="00B643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B64311">
        <w:rPr>
          <w:rFonts w:ascii="Arial" w:eastAsia="Arial" w:hAnsi="Arial" w:cs="Arial"/>
          <w:b/>
          <w:color w:val="0070C0"/>
          <w:sz w:val="24"/>
          <w:szCs w:val="24"/>
        </w:rPr>
        <w:t>7 houses are partially damaged</w:t>
      </w:r>
      <w:r w:rsidRPr="00B643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(see Table 3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B64311" w:rsidRDefault="00B64311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3</w:t>
      </w:r>
      <w:r w:rsidRPr="003724CB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 of Damaged 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1028"/>
        <w:gridCol w:w="4454"/>
        <w:gridCol w:w="2548"/>
        <w:gridCol w:w="3162"/>
        <w:gridCol w:w="3655"/>
      </w:tblGrid>
      <w:tr w:rsidR="00FF486B" w:rsidRPr="00FF486B" w:rsidTr="00FF486B">
        <w:trPr>
          <w:trHeight w:val="20"/>
        </w:trPr>
        <w:tc>
          <w:tcPr>
            <w:tcW w:w="18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FF486B" w:rsidRPr="00FF486B" w:rsidTr="00FF486B">
        <w:trPr>
          <w:trHeight w:val="20"/>
        </w:trPr>
        <w:tc>
          <w:tcPr>
            <w:tcW w:w="18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F486B" w:rsidRPr="00FF486B" w:rsidTr="00FF486B">
        <w:trPr>
          <w:trHeight w:val="20"/>
        </w:trPr>
        <w:tc>
          <w:tcPr>
            <w:tcW w:w="1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FF486B" w:rsidRPr="00FF486B" w:rsidTr="00FF486B">
        <w:trPr>
          <w:trHeight w:val="20"/>
        </w:trPr>
        <w:tc>
          <w:tcPr>
            <w:tcW w:w="1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3 </w:t>
            </w:r>
          </w:p>
        </w:tc>
      </w:tr>
      <w:tr w:rsidR="00FF486B" w:rsidRPr="00FF486B" w:rsidTr="00FF486B">
        <w:trPr>
          <w:trHeight w:val="20"/>
        </w:trPr>
        <w:tc>
          <w:tcPr>
            <w:tcW w:w="1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3 </w:t>
            </w:r>
          </w:p>
        </w:tc>
      </w:tr>
      <w:tr w:rsidR="00FF486B" w:rsidRPr="00FF486B" w:rsidTr="00FF486B">
        <w:trPr>
          <w:trHeight w:val="2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FF486B" w:rsidRPr="00FF486B" w:rsidTr="00FF486B">
        <w:trPr>
          <w:trHeight w:val="20"/>
        </w:trPr>
        <w:tc>
          <w:tcPr>
            <w:tcW w:w="1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 </w:t>
            </w:r>
          </w:p>
        </w:tc>
      </w:tr>
      <w:tr w:rsidR="00FF486B" w:rsidRPr="00FF486B" w:rsidTr="00FF486B">
        <w:trPr>
          <w:trHeight w:val="20"/>
        </w:trPr>
        <w:tc>
          <w:tcPr>
            <w:tcW w:w="1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 </w:t>
            </w:r>
          </w:p>
        </w:tc>
      </w:tr>
      <w:tr w:rsidR="00FF486B" w:rsidRPr="00FF486B" w:rsidTr="00FF486B">
        <w:trPr>
          <w:trHeight w:val="2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86B" w:rsidRPr="00FF486B" w:rsidRDefault="00FF486B" w:rsidP="00FF48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48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4 </w:t>
            </w:r>
          </w:p>
        </w:tc>
      </w:tr>
    </w:tbl>
    <w:p w:rsidR="00FF486B" w:rsidRDefault="00FF486B" w:rsidP="00FF486B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FF486B" w:rsidRPr="00F23136" w:rsidRDefault="00FF486B" w:rsidP="00FF486B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F486B" w:rsidRPr="00F23136" w:rsidRDefault="00FF486B" w:rsidP="00FF486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F486B" w:rsidRPr="00FF486B" w:rsidRDefault="00FF486B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2D6754" w:rsidRPr="002D6754" w:rsidRDefault="002D6754" w:rsidP="00FF486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Summary of Assistance Provided </w:t>
      </w:r>
      <w:r w:rsidRPr="002D6754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>
        <w:rPr>
          <w:rFonts w:ascii="Arial" w:eastAsia="Arial" w:hAnsi="Arial" w:cs="Arial"/>
          <w:color w:val="auto"/>
          <w:sz w:val="24"/>
          <w:szCs w:val="24"/>
        </w:rPr>
        <w:t>ee Table 4</w:t>
      </w:r>
      <w:r w:rsidRPr="002D6754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2D6754" w:rsidRDefault="002D6754" w:rsidP="002D67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D6754" w:rsidRDefault="002D6754" w:rsidP="002D67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F486B">
        <w:rPr>
          <w:rFonts w:ascii="Arial" w:eastAsia="Arial" w:hAnsi="Arial" w:cs="Arial"/>
          <w:b/>
          <w:i/>
          <w:sz w:val="20"/>
          <w:szCs w:val="24"/>
        </w:rPr>
        <w:t>4</w:t>
      </w:r>
      <w:r w:rsidRPr="003724CB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837" w:type="pct"/>
        <w:tblInd w:w="535" w:type="dxa"/>
        <w:tblLook w:val="04A0" w:firstRow="1" w:lastRow="0" w:firstColumn="1" w:lastColumn="0" w:noHBand="0" w:noVBand="1"/>
      </w:tblPr>
      <w:tblGrid>
        <w:gridCol w:w="273"/>
        <w:gridCol w:w="2427"/>
        <w:gridCol w:w="2373"/>
        <w:gridCol w:w="2698"/>
        <w:gridCol w:w="2373"/>
        <w:gridCol w:w="2045"/>
        <w:gridCol w:w="2698"/>
      </w:tblGrid>
      <w:tr w:rsidR="00CB7C77" w:rsidRPr="00CB7C77" w:rsidTr="00CB7C77">
        <w:trPr>
          <w:trHeight w:val="20"/>
          <w:tblHeader/>
        </w:trPr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CB7C77" w:rsidRPr="00CB7C77" w:rsidTr="00CB7C77">
        <w:trPr>
          <w:trHeight w:val="20"/>
          <w:tblHeader/>
        </w:trPr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395,144.00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1,103,851.00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1,678,995.00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201,580.00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37,100.00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418,680.00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69,100.00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69,100.00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69,100.00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69,100.00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125,400.00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25,600.00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151,000.00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125,400.00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25,600.00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151,000.00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7,080.00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11,500.00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198,580.00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Odiongan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*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 xml:space="preserve">       7,080.00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 xml:space="preserve">      11,500.00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 xml:space="preserve">    180,000.00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 xml:space="preserve">           198,580.00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193,564.00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428,831.00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622,395.00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288,772.00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288,772.00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166,272.00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166,272.00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122,500.00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122,500.00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22,934.00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22,934.00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10,764.00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10,764.00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2,520.00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2,520.00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8,850.00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8,850.00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800.00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4,225.00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4,225.00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4,225.00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4,225.00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193,564.00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112,900.00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306,464.00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3,900.00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3,900.00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99,820.00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109,000.00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208,820.00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93,744.00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93,744.00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637,920.00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637,920.00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637,920.00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637,920.00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612,000.00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612,000.00 </w:t>
            </w:r>
          </w:p>
        </w:tc>
      </w:tr>
      <w:tr w:rsidR="00CB7C77" w:rsidRPr="00CB7C77" w:rsidTr="00CB7C77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25,920.00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77" w:rsidRPr="00CB7C77" w:rsidRDefault="00CB7C77" w:rsidP="00CB7C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7C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25,920.00 </w:t>
            </w:r>
          </w:p>
        </w:tc>
      </w:tr>
    </w:tbl>
    <w:p w:rsidR="00CB7C77" w:rsidRDefault="00CB7C77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CB7C77" w:rsidRDefault="00CB7C77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 Relief assistance were provided to stranded passengers at Odiongan Port.</w:t>
      </w:r>
    </w:p>
    <w:p w:rsidR="0026572C" w:rsidRPr="00F23136" w:rsidRDefault="0026572C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B7C77" w:rsidRPr="00F23136" w:rsidRDefault="00CB7C77" w:rsidP="00CB7C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 xml:space="preserve">DSWD-FOs and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D6754" w:rsidRPr="002D6754" w:rsidRDefault="002D6754" w:rsidP="002D67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B1087" w:rsidRPr="009C4896" w:rsidRDefault="003B1087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3CED" w:rsidRPr="00811973" w:rsidRDefault="00FB3CED" w:rsidP="00EC712F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811973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652084">
        <w:rPr>
          <w:rFonts w:ascii="Arial" w:hAnsi="Arial" w:cs="Arial"/>
          <w:color w:val="002060"/>
          <w:sz w:val="28"/>
          <w:szCs w:val="24"/>
        </w:rPr>
        <w:t xml:space="preserve"> </w:t>
      </w:r>
      <w:r w:rsidRPr="00811973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9C4896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9C4896" w:rsidRDefault="00FB3CED" w:rsidP="00EC71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F365C8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F365C8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EC712F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F365C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F365C8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F365C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F365C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81483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1483" w:rsidRPr="00F365C8" w:rsidTr="00881483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881483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F365C8">
              <w:rPr>
                <w:rFonts w:ascii="Arial" w:hAnsi="Arial" w:cs="Arial"/>
                <w:color w:val="0070C0"/>
                <w:sz w:val="20"/>
                <w:szCs w:val="24"/>
              </w:rPr>
              <w:t>30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B6A65" w:rsidRPr="00F365C8">
              <w:rPr>
                <w:rFonts w:ascii="Arial" w:hAnsi="Arial" w:cs="Arial"/>
                <w:color w:val="0070C0"/>
                <w:sz w:val="20"/>
                <w:szCs w:val="24"/>
              </w:rPr>
              <w:t>December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B6A65" w:rsidRPr="00F365C8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881483" w:rsidP="008814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Provincial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QRTs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together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trained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personnel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CCCM,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PSP,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RETT,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Logistics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Warehousing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standby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ready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deployment.</w:t>
            </w:r>
          </w:p>
          <w:p w:rsidR="00881483" w:rsidRPr="00F365C8" w:rsidRDefault="00881483" w:rsidP="008814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LGUs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conducting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hot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meals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residents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Usman.</w:t>
            </w:r>
          </w:p>
          <w:p w:rsidR="00881483" w:rsidRPr="00F365C8" w:rsidRDefault="00881483" w:rsidP="00EC71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LGUs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mobilized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personn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strengthen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government’s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emergency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0E21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coordination.</w:t>
            </w:r>
          </w:p>
          <w:p w:rsidR="00240E21" w:rsidRPr="00F365C8" w:rsidRDefault="00240E21" w:rsidP="00240E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MSWDOs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conducting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profiling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who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sought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temporary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shelter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centers.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MSWDOs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prioritized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hot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meals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immediate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response.</w:t>
            </w:r>
          </w:p>
          <w:p w:rsidR="00240E21" w:rsidRPr="00F365C8" w:rsidRDefault="00D41649" w:rsidP="00240E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MSWDOs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LGUs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mobilized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trained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personnel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CCCM,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PSP,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Management.</w:t>
            </w:r>
          </w:p>
          <w:p w:rsidR="00D41649" w:rsidRPr="00F365C8" w:rsidRDefault="00D41649" w:rsidP="00D416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maintains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MSWDOs.</w:t>
            </w:r>
          </w:p>
          <w:p w:rsidR="00D41649" w:rsidRPr="00F365C8" w:rsidRDefault="00D41649" w:rsidP="00D416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being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conducted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LGUs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activities.</w:t>
            </w:r>
          </w:p>
        </w:tc>
      </w:tr>
    </w:tbl>
    <w:p w:rsidR="007B6A65" w:rsidRPr="009C4896" w:rsidRDefault="007B6A65" w:rsidP="00884A8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4A8B" w:rsidRPr="00F365C8" w:rsidTr="00806614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884A8B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B6A65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B6A65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884A8B" w:rsidP="00EC71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P/C/MSWDOs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LGUs.</w:t>
            </w:r>
          </w:p>
          <w:p w:rsidR="00884A8B" w:rsidRPr="00F365C8" w:rsidRDefault="00884A8B" w:rsidP="00884A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SWAD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other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agencies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response.</w:t>
            </w:r>
          </w:p>
          <w:p w:rsidR="004C0A41" w:rsidRPr="00F365C8" w:rsidRDefault="00884A8B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staff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24/7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duty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further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condition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population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order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immediate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decision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makers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basis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intervention.</w:t>
            </w:r>
          </w:p>
          <w:p w:rsidR="004C0A41" w:rsidRPr="00F365C8" w:rsidRDefault="004C0A41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R/P/C/MQRT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all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activated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disturbances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situational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awareness,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necessary.</w:t>
            </w:r>
          </w:p>
          <w:p w:rsidR="00884A8B" w:rsidRPr="00F365C8" w:rsidRDefault="004C0A41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P/C/MDRRMOs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disturbance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ensure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that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curated/captured,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verified.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365C8" w:rsidRDefault="00F365C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B04A8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247798" w:rsidRPr="00F365C8" w:rsidTr="00B04A8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98" w:rsidRPr="00F365C8" w:rsidRDefault="00B04A8A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F365C8">
              <w:rPr>
                <w:rFonts w:ascii="Arial" w:hAnsi="Arial" w:cs="Arial"/>
                <w:color w:val="0070C0"/>
                <w:sz w:val="20"/>
                <w:szCs w:val="24"/>
              </w:rPr>
              <w:t>30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247798" w:rsidRPr="00F365C8">
              <w:rPr>
                <w:rFonts w:ascii="Arial" w:hAnsi="Arial" w:cs="Arial"/>
                <w:color w:val="0070C0"/>
                <w:sz w:val="20"/>
                <w:szCs w:val="24"/>
              </w:rPr>
              <w:t>December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247798" w:rsidRPr="00F365C8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8FE" w:rsidRPr="00F365C8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information.</w:t>
            </w:r>
          </w:p>
          <w:p w:rsidR="00B04A8A" w:rsidRPr="00F365C8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Repacking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family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food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packs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ongoing.</w:t>
            </w:r>
          </w:p>
          <w:p w:rsidR="00B04A8A" w:rsidRPr="00F365C8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Emergency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Telecommunications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equipment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standby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ready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redeployment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need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arises.</w:t>
            </w:r>
          </w:p>
          <w:p w:rsidR="00B04A8A" w:rsidRPr="00F365C8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QRTs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ready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on-standby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and/or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24/7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duty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Center.</w:t>
            </w:r>
          </w:p>
          <w:p w:rsidR="00B04A8A" w:rsidRPr="00F365C8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P/MAT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six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P/C/MDRRMOs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AB4E8D" w:rsidRDefault="00AB4E8D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1C1B50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6F6E9C" w:rsidRPr="00F365C8" w:rsidTr="001C1B50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ED" w:rsidRPr="00F365C8" w:rsidRDefault="00AB4E8D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F365C8">
              <w:rPr>
                <w:rFonts w:ascii="Arial" w:hAnsi="Arial" w:cs="Arial"/>
                <w:color w:val="0070C0"/>
                <w:sz w:val="20"/>
                <w:szCs w:val="24"/>
              </w:rPr>
              <w:t>30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516BED" w:rsidRPr="00F365C8">
              <w:rPr>
                <w:rFonts w:ascii="Arial" w:hAnsi="Arial" w:cs="Arial"/>
                <w:color w:val="0070C0"/>
                <w:sz w:val="20"/>
                <w:szCs w:val="24"/>
              </w:rPr>
              <w:t>December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516BED" w:rsidRPr="00F365C8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ED" w:rsidRPr="00F365C8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call.</w:t>
            </w:r>
          </w:p>
          <w:p w:rsidR="00EF7283" w:rsidRPr="00F365C8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from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PDRRMO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Aklan,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Aklan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River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now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terminated.</w:t>
            </w:r>
          </w:p>
          <w:p w:rsidR="00EF7283" w:rsidRPr="00F365C8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Water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level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flooded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Capiz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has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started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subside.</w:t>
            </w:r>
          </w:p>
          <w:p w:rsidR="00EF7283" w:rsidRPr="00F365C8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IDPs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E241F" w:rsidRPr="009C4896" w:rsidRDefault="008E241F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6F6E9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E522A9" w:rsidRPr="00F365C8" w:rsidTr="006F6E9C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2A9" w:rsidRPr="00F365C8" w:rsidRDefault="006F6E9C" w:rsidP="006F6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54EBF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522A9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ecember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522A9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E8" w:rsidRPr="00F365C8" w:rsidRDefault="00C4209A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Following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downgrading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Usman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LPA,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PCG-Central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Visayas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has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ordered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lifting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suspension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trips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all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types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vessels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watercrafts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previously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85DE8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suspended.</w:t>
            </w:r>
          </w:p>
          <w:p w:rsidR="00F85DE8" w:rsidRPr="00F365C8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than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2,000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passengers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stranded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different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ports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after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sea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trips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suspended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Thursday,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27.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Various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LGUs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opened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camps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house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stranded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passengers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while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many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remained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ports.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morning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after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PCG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declaration,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LGU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ferried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from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camps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ports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sea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trips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resumed.</w:t>
            </w:r>
          </w:p>
          <w:p w:rsidR="00F85DE8" w:rsidRPr="00F365C8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previously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Bogo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City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Daanbantayan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eventually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returned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homes.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All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camps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now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closed.</w:t>
            </w:r>
          </w:p>
          <w:p w:rsidR="00F85DE8" w:rsidRPr="00F365C8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latest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has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been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deactivated.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However,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C/MATs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still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local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government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units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LDRRMO,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responsibility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feedback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eventualities.</w:t>
            </w:r>
          </w:p>
        </w:tc>
      </w:tr>
    </w:tbl>
    <w:p w:rsidR="00B275C5" w:rsidRPr="009C4896" w:rsidRDefault="00B275C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80D21" w:rsidRPr="009C4896" w:rsidRDefault="00B275C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DSWD-FO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16"/>
        <w:gridCol w:w="12573"/>
      </w:tblGrid>
      <w:tr w:rsidR="008E241F" w:rsidRPr="00F365C8" w:rsidTr="006F6E9C">
        <w:trPr>
          <w:trHeight w:val="5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81483" w:rsidRPr="00F365C8" w:rsidTr="00E93DB2">
        <w:trPr>
          <w:trHeight w:val="85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7416F0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F365C8">
              <w:rPr>
                <w:rFonts w:ascii="Arial" w:hAnsi="Arial" w:cs="Arial"/>
                <w:color w:val="0070C0"/>
                <w:sz w:val="20"/>
                <w:szCs w:val="24"/>
              </w:rPr>
              <w:t>30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8E241F" w:rsidRPr="00F365C8">
              <w:rPr>
                <w:rFonts w:ascii="Arial" w:hAnsi="Arial" w:cs="Arial"/>
                <w:color w:val="0070C0"/>
                <w:sz w:val="20"/>
                <w:szCs w:val="24"/>
              </w:rPr>
              <w:t>December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8E241F" w:rsidRPr="00F365C8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  <w:r w:rsidR="00652084" w:rsidRPr="00F365C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prepared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plan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Inmarsat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Satellite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Equipment’s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last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26,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2018.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followi</w:t>
            </w:r>
            <w:r w:rsidR="007416F0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16F0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16F0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16F0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16F0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16F0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</w:t>
            </w:r>
            <w:r w:rsidR="007E525A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:</w:t>
            </w:r>
          </w:p>
          <w:p w:rsidR="007E525A" w:rsidRPr="00F365C8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Eastern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Samar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–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Global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Express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(GT)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Terminal</w:t>
            </w:r>
          </w:p>
          <w:p w:rsidR="007E525A" w:rsidRPr="00F365C8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Biliran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–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Explorer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710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(Manual)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Broadband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Global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Network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(BGAN)</w:t>
            </w:r>
          </w:p>
          <w:p w:rsidR="007E525A" w:rsidRPr="00F365C8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Western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Samar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–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MCD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4800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“Football”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(Automatic)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Push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Button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Internet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Access</w:t>
            </w:r>
          </w:p>
          <w:p w:rsidR="00122CBC" w:rsidRPr="00F365C8" w:rsidRDefault="00122CBC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–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iSatPhone</w:t>
            </w:r>
          </w:p>
          <w:p w:rsidR="00122CBC" w:rsidRPr="00F365C8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SWAD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Teams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DRMD-PDOs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assigned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P/C/MSWDOs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and/or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P/C/MDRRMOs.</w:t>
            </w:r>
          </w:p>
          <w:p w:rsidR="00122CBC" w:rsidRPr="00F365C8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staff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rendering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24/7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duty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RDRRMC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Emergency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Center.</w:t>
            </w:r>
          </w:p>
          <w:p w:rsidR="00122CBC" w:rsidRPr="00F365C8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DRMD-DRIMS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condition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SWADTs,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QRTs,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PDOs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consolidation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reports.</w:t>
            </w:r>
          </w:p>
          <w:p w:rsidR="003F686A" w:rsidRPr="00F365C8" w:rsidRDefault="003F686A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Resource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Section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ensures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readiness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dispatching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food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non-food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commodities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whenever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needed.</w:t>
            </w:r>
          </w:p>
          <w:p w:rsidR="007416F0" w:rsidRPr="00F365C8" w:rsidRDefault="007416F0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stranded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passengers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vehicles:</w:t>
            </w:r>
          </w:p>
          <w:tbl>
            <w:tblPr>
              <w:tblStyle w:val="GridTable4-Accent5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3438"/>
              <w:gridCol w:w="3216"/>
              <w:gridCol w:w="3105"/>
            </w:tblGrid>
            <w:tr w:rsidR="00881483" w:rsidRPr="00F365C8" w:rsidTr="007416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F365C8" w:rsidRDefault="007416F0" w:rsidP="007416F0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Ports/Terminals</w:t>
                  </w:r>
                </w:p>
              </w:tc>
              <w:tc>
                <w:tcPr>
                  <w:tcW w:w="1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No.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Of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Vehicles</w:t>
                  </w:r>
                </w:p>
              </w:tc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Recorded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Stranded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Families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Recorded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Stranded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Individuals</w:t>
                  </w:r>
                </w:p>
              </w:tc>
            </w:tr>
            <w:tr w:rsidR="00881483" w:rsidRPr="00F365C8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F365C8" w:rsidRDefault="007416F0" w:rsidP="007416F0">
                  <w:pPr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Benit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Port,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Southern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129-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Rolling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Cargo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(Including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bachelor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bus)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105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480</w:t>
                  </w:r>
                </w:p>
              </w:tc>
            </w:tr>
            <w:tr w:rsidR="00881483" w:rsidRPr="00F365C8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F365C8" w:rsidRDefault="007416F0" w:rsidP="007416F0">
                  <w:pPr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Liloan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Port,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Southern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135-Rolling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Cargo</w:t>
                  </w:r>
                </w:p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3-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Ships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38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170</w:t>
                  </w:r>
                </w:p>
              </w:tc>
            </w:tr>
            <w:tr w:rsidR="00881483" w:rsidRPr="00F365C8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F365C8" w:rsidRDefault="007416F0" w:rsidP="007416F0">
                  <w:pPr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Allen,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Northern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Samar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62-Bus</w:t>
                  </w:r>
                </w:p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135-Light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Cars</w:t>
                  </w:r>
                </w:p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96-Trucking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2,502</w:t>
                  </w:r>
                </w:p>
              </w:tc>
            </w:tr>
            <w:tr w:rsidR="00881483" w:rsidRPr="00F365C8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F365C8" w:rsidRDefault="007416F0" w:rsidP="007416F0">
                  <w:pPr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Sta.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Clara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66-Truck</w:t>
                  </w:r>
                </w:p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49-Bus</w:t>
                  </w:r>
                </w:p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91Light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Cars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1,988</w:t>
                  </w:r>
                </w:p>
              </w:tc>
            </w:tr>
            <w:tr w:rsidR="00881483" w:rsidRPr="00F365C8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F365C8" w:rsidRDefault="007416F0" w:rsidP="007416F0">
                  <w:pPr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Dapdap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9-Truck</w:t>
                  </w:r>
                </w:p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0-Bus</w:t>
                  </w:r>
                </w:p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16-Light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Cars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92</w:t>
                  </w:r>
                </w:p>
              </w:tc>
            </w:tr>
            <w:tr w:rsidR="00881483" w:rsidRPr="00F365C8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F365C8" w:rsidRDefault="007416F0" w:rsidP="007416F0">
                  <w:pPr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Ormoc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City,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4-Shipping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Vessels</w:t>
                  </w:r>
                </w:p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Boat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and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Buses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33</w:t>
                  </w:r>
                </w:p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81</w:t>
                  </w:r>
                </w:p>
              </w:tc>
            </w:tr>
            <w:tr w:rsidR="00881483" w:rsidRPr="00F365C8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F365C8" w:rsidRDefault="007416F0" w:rsidP="007416F0">
                  <w:pPr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Calbayog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Port,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Calbayog</w:t>
                  </w:r>
                  <w:r w:rsidR="00652084"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 w:val="0"/>
                      <w:color w:val="0070C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8-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Motorized</w:t>
                  </w:r>
                  <w:r w:rsidR="00652084"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Banka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210</w:t>
                  </w:r>
                </w:p>
              </w:tc>
            </w:tr>
            <w:tr w:rsidR="00881483" w:rsidRPr="00F365C8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F365C8" w:rsidRDefault="00881483" w:rsidP="007416F0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4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143</w:t>
                  </w:r>
                  <w:r w:rsidR="00652084" w:rsidRPr="00F365C8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365C8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F365C8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F365C8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5,556</w:t>
                  </w:r>
                </w:p>
              </w:tc>
            </w:tr>
          </w:tbl>
          <w:p w:rsidR="007416F0" w:rsidRPr="00F365C8" w:rsidRDefault="007416F0" w:rsidP="0088148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D54EBF" w:rsidRPr="009C4896" w:rsidRDefault="00D54EBF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F365C8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740886" w:rsidRPr="00F365C8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E93DB2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hAnsi="Arial" w:cs="Arial"/>
                <w:color w:val="0070C0"/>
                <w:sz w:val="20"/>
                <w:szCs w:val="24"/>
              </w:rPr>
              <w:t>29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D54EBF" w:rsidRPr="00F365C8">
              <w:rPr>
                <w:rFonts w:ascii="Arial" w:hAnsi="Arial" w:cs="Arial"/>
                <w:color w:val="0070C0"/>
                <w:sz w:val="20"/>
                <w:szCs w:val="24"/>
              </w:rPr>
              <w:t>December</w:t>
            </w:r>
            <w:r w:rsidR="00652084" w:rsidRPr="00F365C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D54EBF" w:rsidRPr="00F365C8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E93DB2" w:rsidP="00EC71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already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deactivated.</w:t>
            </w:r>
          </w:p>
          <w:p w:rsidR="00D54EBF" w:rsidRPr="00F365C8" w:rsidRDefault="00E93DB2" w:rsidP="00E93D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submitted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652084"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</w:t>
            </w:r>
            <w:r w:rsidR="00652084" w:rsidRPr="00F365C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report</w:t>
            </w:r>
            <w:r w:rsidRPr="00F365C8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365C8" w:rsidRDefault="00F365C8" w:rsidP="00EC71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B3CED" w:rsidRPr="00B803CD" w:rsidRDefault="00FB3CED" w:rsidP="00EC71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5" w:name="_GoBack"/>
      <w:bookmarkEnd w:id="5"/>
      <w:r w:rsidRPr="00B803CD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B803CD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lastRenderedPageBreak/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Operations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Monitoring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Information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Center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(DROMIC)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DSWD-DRMB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closely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coordinating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with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concerned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DSWD-Field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Offices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any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significant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preparedness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Pr="009C4896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9C4896" w:rsidRDefault="00FB3CED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9C4896" w:rsidRDefault="00B803CD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D60185" w:rsidRDefault="00FB3CED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Releasing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Officer</w:t>
      </w:r>
    </w:p>
    <w:p w:rsidR="003C13D9" w:rsidRDefault="003C13D9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C13D9" w:rsidRDefault="003C13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C13D9" w:rsidRDefault="003C13D9" w:rsidP="003C1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13D9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</w:t>
      </w:r>
      <w:r w:rsidRPr="003C13D9">
        <w:rPr>
          <w:rFonts w:ascii="Arial" w:eastAsia="Arial" w:hAnsi="Arial" w:cs="Arial"/>
          <w:b/>
          <w:sz w:val="24"/>
          <w:szCs w:val="24"/>
        </w:rPr>
        <w:t>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Areas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and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Number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of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/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Persons</w:t>
      </w:r>
    </w:p>
    <w:p w:rsidR="00652084" w:rsidRPr="003C13D9" w:rsidRDefault="00652084" w:rsidP="003C1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23"/>
        <w:gridCol w:w="7276"/>
        <w:gridCol w:w="1640"/>
        <w:gridCol w:w="1837"/>
        <w:gridCol w:w="1646"/>
        <w:gridCol w:w="1332"/>
        <w:gridCol w:w="1329"/>
      </w:tblGrid>
      <w:tr w:rsidR="003C13D9" w:rsidRPr="003C13D9" w:rsidTr="003C13D9">
        <w:trPr>
          <w:trHeight w:val="20"/>
          <w:tblHeader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5208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5208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5208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5208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65208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5208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5208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  <w:tblHeader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128,703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Duran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(Payo)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Andres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(Calolbon)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Masbate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Balangkayan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23,173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100,794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13,887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14,750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17,188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Roque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</w:t>
            </w:r>
            <w:r w:rsidR="006520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5208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Jorge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3D9" w:rsidRPr="003C13D9" w:rsidTr="003C13D9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3C13D9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D9" w:rsidRPr="003C13D9" w:rsidRDefault="00652084" w:rsidP="003C13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3D9" w:rsidRPr="003C13D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724CB" w:rsidRDefault="003724CB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724CB" w:rsidRDefault="003724C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724CB" w:rsidRPr="003724CB" w:rsidRDefault="003724CB" w:rsidP="00372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Served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/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Persons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Inside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and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Outside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ECs</w:t>
      </w:r>
    </w:p>
    <w:p w:rsidR="003C13D9" w:rsidRDefault="003C13D9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"/>
        <w:gridCol w:w="2520"/>
        <w:gridCol w:w="612"/>
        <w:gridCol w:w="688"/>
        <w:gridCol w:w="627"/>
        <w:gridCol w:w="627"/>
        <w:gridCol w:w="718"/>
        <w:gridCol w:w="719"/>
        <w:gridCol w:w="873"/>
        <w:gridCol w:w="864"/>
        <w:gridCol w:w="590"/>
        <w:gridCol w:w="617"/>
        <w:gridCol w:w="627"/>
        <w:gridCol w:w="617"/>
        <w:gridCol w:w="873"/>
        <w:gridCol w:w="864"/>
        <w:gridCol w:w="628"/>
        <w:gridCol w:w="628"/>
        <w:gridCol w:w="718"/>
        <w:gridCol w:w="718"/>
      </w:tblGrid>
      <w:tr w:rsidR="00652084" w:rsidRPr="00652084" w:rsidTr="00652084">
        <w:trPr>
          <w:trHeight w:val="20"/>
          <w:tblHeader/>
        </w:trPr>
        <w:tc>
          <w:tcPr>
            <w:tcW w:w="9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  <w:tblHeader/>
        </w:trPr>
        <w:tc>
          <w:tcPr>
            <w:tcW w:w="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  <w:tblHeader/>
        </w:trPr>
        <w:tc>
          <w:tcPr>
            <w:tcW w:w="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  <w:tblHeader/>
        </w:trPr>
        <w:tc>
          <w:tcPr>
            <w:tcW w:w="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5,703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3,488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21,803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13,469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2,215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8,334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2,379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939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1,440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6,232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3,677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24,182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14,408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Pablo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1,324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1,324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1,349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1,349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906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677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3,261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2,434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989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760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3,675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2,848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Oriental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679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677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2,435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2,434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762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760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2,849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2,848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1,255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1,255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456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456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Calapan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531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2,785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10,467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5,557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1,369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4,910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1,829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500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3,199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1,517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12,296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6,057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2,118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1,090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7,629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4,041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3,588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475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2,226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1,185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8,161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4,516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Pio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Duran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Camarines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1,516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1,516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1,541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1,541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Iriga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Naga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462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1,873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Andres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(Calolbon)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Virac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Masbate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1,678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6,652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4,055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617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2,597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1,705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6,763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4,055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Eastern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609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Northern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5,824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4,055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417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1,769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5,824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4,055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Catarman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1,969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1,969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1,969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1,969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Lope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de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Vega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Roque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Western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Calbayog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2084" w:rsidRPr="00652084" w:rsidTr="0065208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Jorge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084" w:rsidRPr="00652084" w:rsidRDefault="00652084" w:rsidP="006520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65208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52084" w:rsidRPr="009C4896" w:rsidRDefault="00652084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652084" w:rsidRPr="009C4896" w:rsidSect="002F1245">
      <w:headerReference w:type="default" r:id="rId10"/>
      <w:footerReference w:type="default" r:id="rId11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C1" w:rsidRDefault="00CB54C1">
      <w:pPr>
        <w:spacing w:after="0" w:line="240" w:lineRule="auto"/>
      </w:pPr>
      <w:r>
        <w:separator/>
      </w:r>
    </w:p>
  </w:endnote>
  <w:endnote w:type="continuationSeparator" w:id="0">
    <w:p w:rsidR="00CB54C1" w:rsidRDefault="00CB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50" w:rsidRPr="00616ED8" w:rsidRDefault="001C1B50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1C1B50" w:rsidRDefault="001C1B50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365C8">
      <w:rPr>
        <w:rFonts w:asciiTheme="majorHAnsi" w:hAnsiTheme="majorHAnsi" w:cstheme="majorHAnsi"/>
        <w:b/>
        <w:noProof/>
        <w:sz w:val="16"/>
        <w:szCs w:val="16"/>
      </w:rPr>
      <w:t>13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365C8">
      <w:rPr>
        <w:rFonts w:asciiTheme="majorHAnsi" w:hAnsiTheme="majorHAnsi" w:cstheme="majorHAnsi"/>
        <w:b/>
        <w:noProof/>
        <w:sz w:val="16"/>
        <w:szCs w:val="16"/>
      </w:rPr>
      <w:t>13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5 on TD “USMAN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C9487F">
      <w:rPr>
        <w:rFonts w:ascii="Arial" w:eastAsia="Arial" w:hAnsi="Arial" w:cs="Arial"/>
        <w:sz w:val="16"/>
        <w:szCs w:val="16"/>
      </w:rPr>
      <w:t>30 December 2018, 6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C1" w:rsidRDefault="00CB54C1">
      <w:pPr>
        <w:spacing w:after="0" w:line="240" w:lineRule="auto"/>
      </w:pPr>
      <w:r>
        <w:separator/>
      </w:r>
    </w:p>
  </w:footnote>
  <w:footnote w:type="continuationSeparator" w:id="0">
    <w:p w:rsidR="00CB54C1" w:rsidRDefault="00CB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50" w:rsidRDefault="001C1B50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B50" w:rsidRDefault="001C1B50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C1B50" w:rsidRDefault="001C1B50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C1B50" w:rsidRPr="006A0C8C" w:rsidRDefault="001C1B50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5966"/>
    <w:multiLevelType w:val="hybridMultilevel"/>
    <w:tmpl w:val="40A2D302"/>
    <w:lvl w:ilvl="0" w:tplc="F0CC6C9E">
      <w:start w:val="3"/>
      <w:numFmt w:val="low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8690C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F569A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9"/>
  </w:num>
  <w:num w:numId="5">
    <w:abstractNumId w:val="45"/>
  </w:num>
  <w:num w:numId="6">
    <w:abstractNumId w:val="23"/>
  </w:num>
  <w:num w:numId="7">
    <w:abstractNumId w:val="2"/>
  </w:num>
  <w:num w:numId="8">
    <w:abstractNumId w:val="42"/>
  </w:num>
  <w:num w:numId="9">
    <w:abstractNumId w:val="25"/>
  </w:num>
  <w:num w:numId="10">
    <w:abstractNumId w:val="41"/>
  </w:num>
  <w:num w:numId="11">
    <w:abstractNumId w:val="14"/>
  </w:num>
  <w:num w:numId="12">
    <w:abstractNumId w:val="5"/>
  </w:num>
  <w:num w:numId="13">
    <w:abstractNumId w:val="29"/>
  </w:num>
  <w:num w:numId="14">
    <w:abstractNumId w:val="13"/>
  </w:num>
  <w:num w:numId="15">
    <w:abstractNumId w:val="1"/>
  </w:num>
  <w:num w:numId="16">
    <w:abstractNumId w:val="4"/>
  </w:num>
  <w:num w:numId="17">
    <w:abstractNumId w:val="26"/>
  </w:num>
  <w:num w:numId="18">
    <w:abstractNumId w:val="20"/>
  </w:num>
  <w:num w:numId="19">
    <w:abstractNumId w:val="11"/>
  </w:num>
  <w:num w:numId="20">
    <w:abstractNumId w:val="6"/>
  </w:num>
  <w:num w:numId="21">
    <w:abstractNumId w:val="27"/>
  </w:num>
  <w:num w:numId="22">
    <w:abstractNumId w:val="43"/>
  </w:num>
  <w:num w:numId="23">
    <w:abstractNumId w:val="39"/>
  </w:num>
  <w:num w:numId="24">
    <w:abstractNumId w:val="36"/>
  </w:num>
  <w:num w:numId="25">
    <w:abstractNumId w:val="22"/>
  </w:num>
  <w:num w:numId="26">
    <w:abstractNumId w:val="28"/>
  </w:num>
  <w:num w:numId="27">
    <w:abstractNumId w:val="12"/>
  </w:num>
  <w:num w:numId="28">
    <w:abstractNumId w:val="38"/>
  </w:num>
  <w:num w:numId="29">
    <w:abstractNumId w:val="34"/>
  </w:num>
  <w:num w:numId="30">
    <w:abstractNumId w:val="24"/>
  </w:num>
  <w:num w:numId="31">
    <w:abstractNumId w:val="21"/>
  </w:num>
  <w:num w:numId="32">
    <w:abstractNumId w:val="44"/>
  </w:num>
  <w:num w:numId="33">
    <w:abstractNumId w:val="16"/>
  </w:num>
  <w:num w:numId="34">
    <w:abstractNumId w:val="3"/>
  </w:num>
  <w:num w:numId="35">
    <w:abstractNumId w:val="15"/>
  </w:num>
  <w:num w:numId="36">
    <w:abstractNumId w:val="31"/>
  </w:num>
  <w:num w:numId="37">
    <w:abstractNumId w:val="18"/>
  </w:num>
  <w:num w:numId="38">
    <w:abstractNumId w:val="8"/>
  </w:num>
  <w:num w:numId="39">
    <w:abstractNumId w:val="40"/>
  </w:num>
  <w:num w:numId="40">
    <w:abstractNumId w:val="32"/>
  </w:num>
  <w:num w:numId="41">
    <w:abstractNumId w:val="37"/>
  </w:num>
  <w:num w:numId="42">
    <w:abstractNumId w:val="10"/>
  </w:num>
  <w:num w:numId="43">
    <w:abstractNumId w:val="35"/>
  </w:num>
  <w:num w:numId="44">
    <w:abstractNumId w:val="17"/>
  </w:num>
  <w:num w:numId="45">
    <w:abstractNumId w:val="33"/>
  </w:num>
  <w:num w:numId="4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542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19C4"/>
    <w:rsid w:val="001B3F4B"/>
    <w:rsid w:val="001B64C2"/>
    <w:rsid w:val="001B7CFE"/>
    <w:rsid w:val="001C0E35"/>
    <w:rsid w:val="001C1B50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3D9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686A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472E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37D3F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084"/>
    <w:rsid w:val="0065241B"/>
    <w:rsid w:val="00653CBE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278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6F6E9C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973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F8"/>
    <w:rsid w:val="00876F3E"/>
    <w:rsid w:val="0087788A"/>
    <w:rsid w:val="00881483"/>
    <w:rsid w:val="00883D8A"/>
    <w:rsid w:val="00884A8B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7E9"/>
    <w:rsid w:val="008A1A38"/>
    <w:rsid w:val="008A3F58"/>
    <w:rsid w:val="008A50E7"/>
    <w:rsid w:val="008A5CE4"/>
    <w:rsid w:val="008B1246"/>
    <w:rsid w:val="008B20CF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0E50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34AD1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F4F"/>
    <w:rsid w:val="009C7C3C"/>
    <w:rsid w:val="009D07DB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4E8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4A8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407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487F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1649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3351"/>
    <w:rsid w:val="00E54072"/>
    <w:rsid w:val="00E54BFC"/>
    <w:rsid w:val="00E61383"/>
    <w:rsid w:val="00E6239C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136"/>
    <w:rsid w:val="00F2384D"/>
    <w:rsid w:val="00F26583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486B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http://bagong.pagasa.dost.gov.ph/weath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5D84-8FD4-48FE-9F85-92FC5EB9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4</cp:revision>
  <dcterms:created xsi:type="dcterms:W3CDTF">2018-12-30T09:55:00Z</dcterms:created>
  <dcterms:modified xsi:type="dcterms:W3CDTF">2018-12-30T09:56:00Z</dcterms:modified>
</cp:coreProperties>
</file>