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22BB" w:rsidRDefault="005F5446">
      <w:pPr>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w:t>
      </w:r>
      <w:r w:rsidR="008F5975">
        <w:rPr>
          <w:rFonts w:ascii="Arial" w:eastAsia="Arial" w:hAnsi="Arial" w:cs="Arial"/>
          <w:b/>
          <w:sz w:val="32"/>
          <w:szCs w:val="32"/>
        </w:rPr>
        <w:t>SWD DROMIC Report #2</w:t>
      </w:r>
    </w:p>
    <w:p w:rsidR="00FF22BB" w:rsidRDefault="005F5446">
      <w:pPr>
        <w:spacing w:after="0" w:line="240" w:lineRule="auto"/>
        <w:jc w:val="center"/>
        <w:rPr>
          <w:rFonts w:ascii="Arial" w:eastAsia="Arial" w:hAnsi="Arial" w:cs="Arial"/>
          <w:b/>
          <w:sz w:val="32"/>
          <w:szCs w:val="32"/>
        </w:rPr>
      </w:pPr>
      <w:r>
        <w:rPr>
          <w:rFonts w:ascii="Arial" w:eastAsia="Arial" w:hAnsi="Arial" w:cs="Arial"/>
          <w:b/>
          <w:sz w:val="32"/>
          <w:szCs w:val="32"/>
        </w:rPr>
        <w:t xml:space="preserve">on the Earthquake Incident in </w:t>
      </w:r>
      <w:r w:rsidR="001F69C6">
        <w:rPr>
          <w:rFonts w:ascii="Arial" w:eastAsia="Arial" w:hAnsi="Arial" w:cs="Arial"/>
          <w:b/>
          <w:sz w:val="32"/>
          <w:szCs w:val="32"/>
        </w:rPr>
        <w:t>Manay</w:t>
      </w:r>
      <w:r>
        <w:rPr>
          <w:rFonts w:ascii="Arial" w:eastAsia="Arial" w:hAnsi="Arial" w:cs="Arial"/>
          <w:b/>
          <w:sz w:val="32"/>
          <w:szCs w:val="32"/>
        </w:rPr>
        <w:t xml:space="preserve">, </w:t>
      </w:r>
      <w:r w:rsidR="001F69C6">
        <w:rPr>
          <w:rFonts w:ascii="Arial" w:eastAsia="Arial" w:hAnsi="Arial" w:cs="Arial"/>
          <w:b/>
          <w:sz w:val="32"/>
          <w:szCs w:val="32"/>
        </w:rPr>
        <w:t>Davao Oriental</w:t>
      </w:r>
    </w:p>
    <w:p w:rsidR="00FF22BB" w:rsidRDefault="005F5446">
      <w:pPr>
        <w:spacing w:after="0" w:line="240" w:lineRule="auto"/>
        <w:jc w:val="center"/>
        <w:rPr>
          <w:rFonts w:ascii="Arial" w:eastAsia="Arial" w:hAnsi="Arial" w:cs="Arial"/>
          <w:sz w:val="24"/>
          <w:szCs w:val="24"/>
        </w:rPr>
      </w:pPr>
      <w:r>
        <w:rPr>
          <w:rFonts w:ascii="Arial" w:eastAsia="Arial" w:hAnsi="Arial" w:cs="Arial"/>
          <w:sz w:val="24"/>
          <w:szCs w:val="24"/>
        </w:rPr>
        <w:t xml:space="preserve">as of </w:t>
      </w:r>
      <w:r w:rsidR="008F5975">
        <w:rPr>
          <w:rFonts w:ascii="Arial" w:eastAsia="Arial" w:hAnsi="Arial" w:cs="Arial"/>
          <w:sz w:val="24"/>
          <w:szCs w:val="24"/>
        </w:rPr>
        <w:t>10</w:t>
      </w:r>
      <w:r w:rsidR="001F69C6">
        <w:rPr>
          <w:rFonts w:ascii="Arial" w:eastAsia="Arial" w:hAnsi="Arial" w:cs="Arial"/>
          <w:sz w:val="24"/>
          <w:szCs w:val="24"/>
        </w:rPr>
        <w:t xml:space="preserve"> September</w:t>
      </w:r>
      <w:r>
        <w:rPr>
          <w:rFonts w:ascii="Arial" w:eastAsia="Arial" w:hAnsi="Arial" w:cs="Arial"/>
          <w:sz w:val="24"/>
          <w:szCs w:val="24"/>
        </w:rPr>
        <w:t xml:space="preserve"> 2018, </w:t>
      </w:r>
      <w:r w:rsidR="008F5975">
        <w:rPr>
          <w:rFonts w:ascii="Arial" w:eastAsia="Arial" w:hAnsi="Arial" w:cs="Arial"/>
          <w:sz w:val="24"/>
          <w:szCs w:val="24"/>
        </w:rPr>
        <w:t>6P</w:t>
      </w:r>
      <w:r>
        <w:rPr>
          <w:rFonts w:ascii="Arial" w:eastAsia="Arial" w:hAnsi="Arial" w:cs="Arial"/>
          <w:sz w:val="24"/>
          <w:szCs w:val="24"/>
        </w:rPr>
        <w:t>M</w:t>
      </w:r>
    </w:p>
    <w:p w:rsidR="00FF22BB" w:rsidRDefault="00FF22BB">
      <w:pPr>
        <w:spacing w:after="0" w:line="240" w:lineRule="auto"/>
        <w:jc w:val="both"/>
        <w:rPr>
          <w:rFonts w:ascii="Arial" w:eastAsia="Arial" w:hAnsi="Arial" w:cs="Arial"/>
          <w:sz w:val="24"/>
          <w:szCs w:val="24"/>
        </w:rPr>
      </w:pPr>
    </w:p>
    <w:p w:rsidR="00FF22BB" w:rsidRDefault="005F5446">
      <w:pPr>
        <w:pStyle w:val="Heading1"/>
        <w:spacing w:before="0"/>
        <w:rPr>
          <w:rFonts w:ascii="Arial" w:eastAsia="Arial" w:hAnsi="Arial" w:cs="Arial"/>
          <w:sz w:val="28"/>
          <w:szCs w:val="28"/>
        </w:rPr>
      </w:pPr>
      <w:r>
        <w:rPr>
          <w:rFonts w:ascii="Arial" w:eastAsia="Arial" w:hAnsi="Arial" w:cs="Arial"/>
          <w:color w:val="002060"/>
          <w:sz w:val="28"/>
          <w:szCs w:val="28"/>
        </w:rPr>
        <w:t>Situation Overview</w:t>
      </w:r>
    </w:p>
    <w:p w:rsidR="00FF22BB" w:rsidRDefault="001F69C6" w:rsidP="008F5975">
      <w:pPr>
        <w:spacing w:after="0" w:line="240" w:lineRule="auto"/>
        <w:rPr>
          <w:rFonts w:ascii="Arial" w:eastAsia="Arial" w:hAnsi="Arial" w:cs="Arial"/>
          <w:sz w:val="24"/>
          <w:szCs w:val="24"/>
        </w:rPr>
      </w:pPr>
      <w:bookmarkStart w:id="1" w:name="_30j0zll" w:colFirst="0" w:colLast="0"/>
      <w:bookmarkStart w:id="2" w:name="_1fob9te" w:colFirst="0" w:colLast="0"/>
      <w:bookmarkEnd w:id="1"/>
      <w:bookmarkEnd w:id="2"/>
      <w:r w:rsidRPr="001F69C6">
        <w:rPr>
          <w:rFonts w:ascii="Arial" w:eastAsia="Arial" w:hAnsi="Arial" w:cs="Arial"/>
          <w:sz w:val="24"/>
          <w:szCs w:val="24"/>
        </w:rPr>
        <w:t>On September 8, 2018 at exactly 3:16 PM, a Magnitude 6.</w:t>
      </w:r>
      <w:r w:rsidR="00800D6D">
        <w:rPr>
          <w:rFonts w:ascii="Arial" w:eastAsia="Arial" w:hAnsi="Arial" w:cs="Arial"/>
          <w:sz w:val="24"/>
          <w:szCs w:val="24"/>
        </w:rPr>
        <w:t>4</w:t>
      </w:r>
      <w:r w:rsidRPr="001F69C6">
        <w:rPr>
          <w:rFonts w:ascii="Arial" w:eastAsia="Arial" w:hAnsi="Arial" w:cs="Arial"/>
          <w:sz w:val="24"/>
          <w:szCs w:val="24"/>
        </w:rPr>
        <w:t xml:space="preserve"> earthquake shook Manay, Davao Oriental. The epicenter of the earthquake was located </w:t>
      </w:r>
      <w:r w:rsidR="00800D6D" w:rsidRPr="00800D6D">
        <w:rPr>
          <w:rFonts w:ascii="Arial" w:eastAsia="Arial" w:hAnsi="Arial" w:cs="Arial"/>
          <w:sz w:val="24"/>
          <w:szCs w:val="24"/>
        </w:rPr>
        <w:t>07.02°N, 126.68°E - 027 km S 35° E of Manay</w:t>
      </w:r>
      <w:r w:rsidRPr="001F69C6">
        <w:rPr>
          <w:rFonts w:ascii="Arial" w:eastAsia="Arial" w:hAnsi="Arial" w:cs="Arial"/>
          <w:sz w:val="24"/>
          <w:szCs w:val="24"/>
        </w:rPr>
        <w:t>, Davao Oriental with a depth focus of 0</w:t>
      </w:r>
      <w:r w:rsidR="00800D6D">
        <w:rPr>
          <w:rFonts w:ascii="Arial" w:eastAsia="Arial" w:hAnsi="Arial" w:cs="Arial"/>
          <w:sz w:val="24"/>
          <w:szCs w:val="24"/>
        </w:rPr>
        <w:t>14</w:t>
      </w:r>
      <w:r w:rsidRPr="001F69C6">
        <w:rPr>
          <w:rFonts w:ascii="Arial" w:eastAsia="Arial" w:hAnsi="Arial" w:cs="Arial"/>
          <w:sz w:val="24"/>
          <w:szCs w:val="24"/>
        </w:rPr>
        <w:t xml:space="preserve"> km and with a Tectonic origin.</w:t>
      </w:r>
    </w:p>
    <w:p w:rsidR="005845D8" w:rsidRDefault="005845D8" w:rsidP="005845D8">
      <w:pPr>
        <w:spacing w:after="0" w:line="240" w:lineRule="auto"/>
        <w:jc w:val="right"/>
        <w:rPr>
          <w:rFonts w:ascii="Arial" w:eastAsia="Arial" w:hAnsi="Arial" w:cs="Arial"/>
          <w:i/>
          <w:color w:val="002060"/>
          <w:sz w:val="16"/>
          <w:szCs w:val="16"/>
        </w:rPr>
      </w:pPr>
    </w:p>
    <w:p w:rsidR="00A115B7" w:rsidRPr="005845D8" w:rsidRDefault="005F5446" w:rsidP="005845D8">
      <w:pPr>
        <w:spacing w:after="0" w:line="240" w:lineRule="auto"/>
        <w:jc w:val="right"/>
        <w:rPr>
          <w:rFonts w:ascii="Arial" w:eastAsia="Arial" w:hAnsi="Arial" w:cs="Arial"/>
          <w:i/>
          <w:color w:val="002060"/>
          <w:sz w:val="16"/>
          <w:szCs w:val="16"/>
        </w:rPr>
      </w:pPr>
      <w:r>
        <w:rPr>
          <w:rFonts w:ascii="Arial" w:eastAsia="Arial" w:hAnsi="Arial" w:cs="Arial"/>
          <w:i/>
          <w:color w:val="002060"/>
          <w:sz w:val="16"/>
          <w:szCs w:val="16"/>
        </w:rPr>
        <w:t xml:space="preserve">Source: </w:t>
      </w:r>
      <w:hyperlink r:id="rId7">
        <w:r>
          <w:rPr>
            <w:rFonts w:ascii="Arial" w:eastAsia="Arial" w:hAnsi="Arial" w:cs="Arial"/>
            <w:i/>
            <w:color w:val="002060"/>
            <w:sz w:val="16"/>
            <w:szCs w:val="16"/>
          </w:rPr>
          <w:t>DOST-PHIVOLCS Earthquake Bulletin</w:t>
        </w:r>
      </w:hyperlink>
    </w:p>
    <w:p w:rsidR="00A115B7" w:rsidRDefault="00A115B7" w:rsidP="00A115B7"/>
    <w:p w:rsidR="00023D0D" w:rsidRPr="005845D8" w:rsidRDefault="005845D8" w:rsidP="005845D8">
      <w:pPr>
        <w:pStyle w:val="NormalWeb"/>
        <w:spacing w:beforeAutospacing="0" w:afterAutospacing="0"/>
        <w:contextualSpacing/>
        <w:jc w:val="both"/>
        <w:rPr>
          <w:rFonts w:ascii="Arial" w:hAnsi="Arial" w:cs="Arial"/>
          <w:b/>
          <w:color w:val="002060"/>
          <w:sz w:val="28"/>
        </w:rPr>
      </w:pPr>
      <w:r w:rsidRPr="00893BC0">
        <w:rPr>
          <w:rFonts w:ascii="Arial" w:hAnsi="Arial" w:cs="Arial"/>
          <w:b/>
          <w:color w:val="002060"/>
          <w:sz w:val="28"/>
        </w:rPr>
        <w:t>SUMMARY</w:t>
      </w:r>
    </w:p>
    <w:tbl>
      <w:tblPr>
        <w:tblW w:w="5000" w:type="pct"/>
        <w:tblCellMar>
          <w:left w:w="0" w:type="dxa"/>
          <w:right w:w="0" w:type="dxa"/>
        </w:tblCellMar>
        <w:tblLook w:val="04A0" w:firstRow="1" w:lastRow="0" w:firstColumn="1" w:lastColumn="0" w:noHBand="0" w:noVBand="1"/>
      </w:tblPr>
      <w:tblGrid>
        <w:gridCol w:w="175"/>
        <w:gridCol w:w="956"/>
        <w:gridCol w:w="822"/>
        <w:gridCol w:w="650"/>
        <w:gridCol w:w="643"/>
        <w:gridCol w:w="1054"/>
        <w:gridCol w:w="650"/>
        <w:gridCol w:w="643"/>
        <w:gridCol w:w="650"/>
        <w:gridCol w:w="643"/>
        <w:gridCol w:w="650"/>
        <w:gridCol w:w="643"/>
        <w:gridCol w:w="399"/>
        <w:gridCol w:w="530"/>
        <w:gridCol w:w="629"/>
      </w:tblGrid>
      <w:tr w:rsidR="00E0451D" w:rsidRPr="00E0451D" w:rsidTr="00E0451D">
        <w:trPr>
          <w:trHeight w:hRule="exact" w:val="288"/>
        </w:trPr>
        <w:tc>
          <w:tcPr>
            <w:tcW w:w="58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REGION / PROVINCE / MUNICIPALITY</w:t>
            </w:r>
          </w:p>
        </w:tc>
        <w:tc>
          <w:tcPr>
            <w:tcW w:w="1086"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NUMBER OF AFFECTED</w:t>
            </w:r>
          </w:p>
        </w:tc>
        <w:tc>
          <w:tcPr>
            <w:tcW w:w="541" w:type="pct"/>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NUMBER OF EVACUATION CENTERS (ECs)</w:t>
            </w:r>
          </w:p>
        </w:tc>
        <w:tc>
          <w:tcPr>
            <w:tcW w:w="66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NUMBER OF INSIDE ECs</w:t>
            </w:r>
          </w:p>
        </w:tc>
        <w:tc>
          <w:tcPr>
            <w:tcW w:w="66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NUMBER OF OUTSIDE ECs</w:t>
            </w:r>
          </w:p>
        </w:tc>
        <w:tc>
          <w:tcPr>
            <w:tcW w:w="664" w:type="pct"/>
            <w:gridSpan w:val="2"/>
            <w:tcBorders>
              <w:top w:val="single" w:sz="4" w:space="0" w:color="000000"/>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TOTAL DISPLACED</w:t>
            </w:r>
          </w:p>
        </w:tc>
        <w:tc>
          <w:tcPr>
            <w:tcW w:w="800"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NO. OF DAMAGED HOUSES</w:t>
            </w:r>
          </w:p>
        </w:tc>
      </w:tr>
      <w:tr w:rsidR="005845D8" w:rsidRPr="00E0451D" w:rsidTr="00E0451D">
        <w:trPr>
          <w:trHeight w:hRule="exact" w:val="288"/>
        </w:trPr>
        <w:tc>
          <w:tcPr>
            <w:tcW w:w="581" w:type="pct"/>
            <w:gridSpan w:val="2"/>
            <w:vMerge/>
            <w:tcBorders>
              <w:top w:val="single" w:sz="4" w:space="0" w:color="000000"/>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1086" w:type="pct"/>
            <w:gridSpan w:val="3"/>
            <w:vMerge/>
            <w:tcBorders>
              <w:top w:val="single" w:sz="4" w:space="0" w:color="000000"/>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541" w:type="pct"/>
            <w:vMerge/>
            <w:tcBorders>
              <w:top w:val="single" w:sz="4" w:space="0" w:color="000000"/>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664" w:type="pct"/>
            <w:gridSpan w:val="2"/>
            <w:vMerge/>
            <w:tcBorders>
              <w:top w:val="single" w:sz="4" w:space="0" w:color="000000"/>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664" w:type="pct"/>
            <w:gridSpan w:val="2"/>
            <w:vMerge/>
            <w:tcBorders>
              <w:top w:val="single" w:sz="4" w:space="0" w:color="000000"/>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334" w:type="pct"/>
            <w:vMerge w:val="restart"/>
            <w:tcBorders>
              <w:top w:val="nil"/>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Total Families</w:t>
            </w:r>
          </w:p>
        </w:tc>
        <w:tc>
          <w:tcPr>
            <w:tcW w:w="330" w:type="pct"/>
            <w:vMerge w:val="restart"/>
            <w:tcBorders>
              <w:top w:val="nil"/>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Total Persons</w:t>
            </w:r>
          </w:p>
        </w:tc>
        <w:tc>
          <w:tcPr>
            <w:tcW w:w="800" w:type="pct"/>
            <w:gridSpan w:val="3"/>
            <w:vMerge/>
            <w:tcBorders>
              <w:top w:val="nil"/>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r>
      <w:tr w:rsidR="002A785C" w:rsidRPr="00E0451D" w:rsidTr="00E0451D">
        <w:trPr>
          <w:trHeight w:hRule="exact" w:val="453"/>
        </w:trPr>
        <w:tc>
          <w:tcPr>
            <w:tcW w:w="581" w:type="pct"/>
            <w:gridSpan w:val="2"/>
            <w:vMerge/>
            <w:tcBorders>
              <w:top w:val="single" w:sz="4" w:space="0" w:color="000000"/>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422" w:type="pct"/>
            <w:vMerge w:val="restart"/>
            <w:tcBorders>
              <w:top w:val="nil"/>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Barangays</w:t>
            </w:r>
          </w:p>
        </w:tc>
        <w:tc>
          <w:tcPr>
            <w:tcW w:w="334" w:type="pct"/>
            <w:vMerge w:val="restart"/>
            <w:tcBorders>
              <w:top w:val="nil"/>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Families</w:t>
            </w:r>
          </w:p>
        </w:tc>
        <w:tc>
          <w:tcPr>
            <w:tcW w:w="330" w:type="pct"/>
            <w:vMerge w:val="restart"/>
            <w:tcBorders>
              <w:top w:val="nil"/>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Persons</w:t>
            </w:r>
          </w:p>
        </w:tc>
        <w:tc>
          <w:tcPr>
            <w:tcW w:w="541" w:type="pct"/>
            <w:vMerge/>
            <w:tcBorders>
              <w:top w:val="single" w:sz="4" w:space="0" w:color="000000"/>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33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Families</w:t>
            </w:r>
          </w:p>
        </w:tc>
        <w:tc>
          <w:tcPr>
            <w:tcW w:w="33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Persons</w:t>
            </w:r>
          </w:p>
        </w:tc>
        <w:tc>
          <w:tcPr>
            <w:tcW w:w="33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Families</w:t>
            </w:r>
          </w:p>
        </w:tc>
        <w:tc>
          <w:tcPr>
            <w:tcW w:w="33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Persons</w:t>
            </w:r>
          </w:p>
        </w:tc>
        <w:tc>
          <w:tcPr>
            <w:tcW w:w="334" w:type="pct"/>
            <w:vMerge/>
            <w:tcBorders>
              <w:top w:val="nil"/>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330" w:type="pct"/>
            <w:vMerge/>
            <w:tcBorders>
              <w:top w:val="nil"/>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800" w:type="pct"/>
            <w:gridSpan w:val="3"/>
            <w:vMerge/>
            <w:tcBorders>
              <w:top w:val="nil"/>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r>
      <w:tr w:rsidR="005845D8" w:rsidRPr="00E0451D" w:rsidTr="00E0451D">
        <w:trPr>
          <w:trHeight w:hRule="exact" w:val="288"/>
        </w:trPr>
        <w:tc>
          <w:tcPr>
            <w:tcW w:w="581" w:type="pct"/>
            <w:gridSpan w:val="2"/>
            <w:vMerge/>
            <w:tcBorders>
              <w:top w:val="single" w:sz="4" w:space="0" w:color="000000"/>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422" w:type="pct"/>
            <w:vMerge/>
            <w:tcBorders>
              <w:top w:val="nil"/>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334" w:type="pct"/>
            <w:vMerge/>
            <w:tcBorders>
              <w:top w:val="nil"/>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330" w:type="pct"/>
            <w:vMerge/>
            <w:tcBorders>
              <w:top w:val="nil"/>
              <w:left w:val="single" w:sz="4" w:space="0" w:color="000000"/>
              <w:bottom w:val="single" w:sz="4" w:space="0" w:color="000000"/>
              <w:right w:val="single" w:sz="4" w:space="0" w:color="000000"/>
            </w:tcBorders>
            <w:vAlign w:val="center"/>
            <w:hideMark/>
          </w:tcPr>
          <w:p w:rsidR="005845D8" w:rsidRPr="00E0451D" w:rsidRDefault="005845D8" w:rsidP="005845D8">
            <w:pPr>
              <w:jc w:val="center"/>
              <w:rPr>
                <w:rFonts w:ascii="Arial Narrow" w:hAnsi="Arial Narrow"/>
                <w:b/>
                <w:bCs/>
                <w:sz w:val="18"/>
                <w:szCs w:val="20"/>
              </w:rPr>
            </w:pPr>
          </w:p>
        </w:tc>
        <w:tc>
          <w:tcPr>
            <w:tcW w:w="54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NOW</w:t>
            </w:r>
          </w:p>
        </w:tc>
        <w:tc>
          <w:tcPr>
            <w:tcW w:w="33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NOW</w:t>
            </w:r>
          </w:p>
        </w:tc>
        <w:tc>
          <w:tcPr>
            <w:tcW w:w="33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NOW</w:t>
            </w:r>
          </w:p>
        </w:tc>
        <w:tc>
          <w:tcPr>
            <w:tcW w:w="33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NOW</w:t>
            </w:r>
          </w:p>
        </w:tc>
        <w:tc>
          <w:tcPr>
            <w:tcW w:w="33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NOW</w:t>
            </w:r>
          </w:p>
        </w:tc>
        <w:tc>
          <w:tcPr>
            <w:tcW w:w="33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NOW</w:t>
            </w:r>
          </w:p>
        </w:tc>
        <w:tc>
          <w:tcPr>
            <w:tcW w:w="33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NOW</w:t>
            </w:r>
          </w:p>
        </w:tc>
        <w:tc>
          <w:tcPr>
            <w:tcW w:w="20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Total</w:t>
            </w:r>
          </w:p>
        </w:tc>
        <w:tc>
          <w:tcPr>
            <w:tcW w:w="272"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Totally</w:t>
            </w:r>
          </w:p>
        </w:tc>
        <w:tc>
          <w:tcPr>
            <w:tcW w:w="323"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845D8" w:rsidRPr="00E0451D" w:rsidRDefault="005845D8" w:rsidP="005845D8">
            <w:pPr>
              <w:jc w:val="center"/>
              <w:rPr>
                <w:rFonts w:ascii="Arial Narrow" w:hAnsi="Arial Narrow"/>
                <w:b/>
                <w:bCs/>
                <w:sz w:val="18"/>
                <w:szCs w:val="20"/>
              </w:rPr>
            </w:pPr>
            <w:r w:rsidRPr="00E0451D">
              <w:rPr>
                <w:rFonts w:ascii="Arial Narrow" w:hAnsi="Arial Narrow"/>
                <w:b/>
                <w:bCs/>
                <w:sz w:val="18"/>
                <w:szCs w:val="20"/>
              </w:rPr>
              <w:t>Partially</w:t>
            </w:r>
          </w:p>
        </w:tc>
      </w:tr>
      <w:tr w:rsidR="005845D8" w:rsidTr="00E0451D">
        <w:trPr>
          <w:trHeight w:hRule="exact" w:val="288"/>
        </w:trPr>
        <w:tc>
          <w:tcPr>
            <w:tcW w:w="58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pPr>
              <w:jc w:val="center"/>
              <w:rPr>
                <w:rFonts w:ascii="Arial Narrow" w:hAnsi="Arial Narrow"/>
                <w:b/>
                <w:bCs/>
                <w:color w:val="000000"/>
                <w:sz w:val="20"/>
                <w:szCs w:val="20"/>
              </w:rPr>
            </w:pPr>
            <w:r>
              <w:rPr>
                <w:rFonts w:ascii="Arial Narrow" w:hAnsi="Arial Narrow"/>
                <w:b/>
                <w:bCs/>
                <w:color w:val="000000"/>
                <w:sz w:val="20"/>
                <w:szCs w:val="20"/>
              </w:rPr>
              <w:t>GRAND TOTAL</w:t>
            </w:r>
          </w:p>
        </w:tc>
        <w:tc>
          <w:tcPr>
            <w:tcW w:w="4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5</w:t>
            </w:r>
          </w:p>
        </w:tc>
        <w:tc>
          <w:tcPr>
            <w:tcW w:w="3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61</w:t>
            </w:r>
          </w:p>
        </w:tc>
        <w:tc>
          <w:tcPr>
            <w:tcW w:w="33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305</w:t>
            </w:r>
          </w:p>
        </w:tc>
        <w:tc>
          <w:tcPr>
            <w:tcW w:w="5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w:t>
            </w:r>
          </w:p>
        </w:tc>
        <w:tc>
          <w:tcPr>
            <w:tcW w:w="3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w:t>
            </w:r>
          </w:p>
        </w:tc>
        <w:tc>
          <w:tcPr>
            <w:tcW w:w="33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w:t>
            </w:r>
          </w:p>
        </w:tc>
        <w:tc>
          <w:tcPr>
            <w:tcW w:w="3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61</w:t>
            </w:r>
          </w:p>
        </w:tc>
        <w:tc>
          <w:tcPr>
            <w:tcW w:w="33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305</w:t>
            </w:r>
          </w:p>
        </w:tc>
        <w:tc>
          <w:tcPr>
            <w:tcW w:w="3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61</w:t>
            </w:r>
          </w:p>
        </w:tc>
        <w:tc>
          <w:tcPr>
            <w:tcW w:w="33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305</w:t>
            </w:r>
          </w:p>
        </w:tc>
        <w:tc>
          <w:tcPr>
            <w:tcW w:w="20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61</w:t>
            </w:r>
          </w:p>
        </w:tc>
        <w:tc>
          <w:tcPr>
            <w:tcW w:w="27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1</w:t>
            </w:r>
          </w:p>
        </w:tc>
        <w:tc>
          <w:tcPr>
            <w:tcW w:w="3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60</w:t>
            </w:r>
          </w:p>
        </w:tc>
      </w:tr>
      <w:tr w:rsidR="005845D8" w:rsidTr="00E0451D">
        <w:trPr>
          <w:trHeight w:hRule="exact" w:val="288"/>
        </w:trPr>
        <w:tc>
          <w:tcPr>
            <w:tcW w:w="581"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pPr>
              <w:rPr>
                <w:rFonts w:ascii="Arial Narrow" w:hAnsi="Arial Narrow"/>
                <w:b/>
                <w:bCs/>
                <w:color w:val="000000"/>
                <w:sz w:val="20"/>
                <w:szCs w:val="20"/>
              </w:rPr>
            </w:pPr>
            <w:r>
              <w:rPr>
                <w:rFonts w:ascii="Arial Narrow" w:hAnsi="Arial Narrow"/>
                <w:b/>
                <w:bCs/>
                <w:color w:val="000000"/>
                <w:sz w:val="20"/>
                <w:szCs w:val="20"/>
              </w:rPr>
              <w:t>REGION XI</w:t>
            </w:r>
          </w:p>
        </w:tc>
        <w:tc>
          <w:tcPr>
            <w:tcW w:w="4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5</w:t>
            </w:r>
          </w:p>
        </w:tc>
        <w:tc>
          <w:tcPr>
            <w:tcW w:w="3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61</w:t>
            </w:r>
          </w:p>
        </w:tc>
        <w:tc>
          <w:tcPr>
            <w:tcW w:w="33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305</w:t>
            </w:r>
          </w:p>
        </w:tc>
        <w:tc>
          <w:tcPr>
            <w:tcW w:w="5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w:t>
            </w:r>
          </w:p>
        </w:tc>
        <w:tc>
          <w:tcPr>
            <w:tcW w:w="3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w:t>
            </w:r>
          </w:p>
        </w:tc>
        <w:tc>
          <w:tcPr>
            <w:tcW w:w="33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w:t>
            </w:r>
          </w:p>
        </w:tc>
        <w:tc>
          <w:tcPr>
            <w:tcW w:w="3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61</w:t>
            </w:r>
          </w:p>
        </w:tc>
        <w:tc>
          <w:tcPr>
            <w:tcW w:w="33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305</w:t>
            </w:r>
          </w:p>
        </w:tc>
        <w:tc>
          <w:tcPr>
            <w:tcW w:w="3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61</w:t>
            </w:r>
          </w:p>
        </w:tc>
        <w:tc>
          <w:tcPr>
            <w:tcW w:w="33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305</w:t>
            </w:r>
          </w:p>
        </w:tc>
        <w:tc>
          <w:tcPr>
            <w:tcW w:w="2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61</w:t>
            </w:r>
          </w:p>
        </w:tc>
        <w:tc>
          <w:tcPr>
            <w:tcW w:w="27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1</w:t>
            </w:r>
          </w:p>
        </w:tc>
        <w:tc>
          <w:tcPr>
            <w:tcW w:w="3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60</w:t>
            </w:r>
          </w:p>
        </w:tc>
      </w:tr>
      <w:tr w:rsidR="005845D8" w:rsidTr="00E0451D">
        <w:trPr>
          <w:trHeight w:hRule="exact" w:val="288"/>
        </w:trPr>
        <w:tc>
          <w:tcPr>
            <w:tcW w:w="58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pPr>
              <w:rPr>
                <w:rFonts w:ascii="Arial Narrow" w:hAnsi="Arial Narrow"/>
                <w:b/>
                <w:bCs/>
                <w:color w:val="000000"/>
                <w:sz w:val="20"/>
                <w:szCs w:val="20"/>
              </w:rPr>
            </w:pPr>
            <w:r>
              <w:rPr>
                <w:rFonts w:ascii="Arial Narrow" w:hAnsi="Arial Narrow"/>
                <w:b/>
                <w:bCs/>
                <w:color w:val="000000"/>
                <w:sz w:val="20"/>
                <w:szCs w:val="20"/>
              </w:rPr>
              <w:t>Davao Oriental</w:t>
            </w:r>
          </w:p>
        </w:tc>
        <w:tc>
          <w:tcPr>
            <w:tcW w:w="4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5</w:t>
            </w:r>
          </w:p>
        </w:tc>
        <w:tc>
          <w:tcPr>
            <w:tcW w:w="3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61</w:t>
            </w:r>
          </w:p>
        </w:tc>
        <w:tc>
          <w:tcPr>
            <w:tcW w:w="3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305</w:t>
            </w:r>
          </w:p>
        </w:tc>
        <w:tc>
          <w:tcPr>
            <w:tcW w:w="5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w:t>
            </w:r>
          </w:p>
        </w:tc>
        <w:tc>
          <w:tcPr>
            <w:tcW w:w="3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w:t>
            </w:r>
          </w:p>
        </w:tc>
        <w:tc>
          <w:tcPr>
            <w:tcW w:w="3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w:t>
            </w:r>
          </w:p>
        </w:tc>
        <w:tc>
          <w:tcPr>
            <w:tcW w:w="3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61</w:t>
            </w:r>
          </w:p>
        </w:tc>
        <w:tc>
          <w:tcPr>
            <w:tcW w:w="3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305</w:t>
            </w:r>
          </w:p>
        </w:tc>
        <w:tc>
          <w:tcPr>
            <w:tcW w:w="3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61</w:t>
            </w:r>
          </w:p>
        </w:tc>
        <w:tc>
          <w:tcPr>
            <w:tcW w:w="3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305</w:t>
            </w:r>
          </w:p>
        </w:tc>
        <w:tc>
          <w:tcPr>
            <w:tcW w:w="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61</w:t>
            </w:r>
          </w:p>
        </w:tc>
        <w:tc>
          <w:tcPr>
            <w:tcW w:w="27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1</w:t>
            </w:r>
          </w:p>
        </w:tc>
        <w:tc>
          <w:tcPr>
            <w:tcW w:w="3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845D8" w:rsidRDefault="005845D8" w:rsidP="005845D8">
            <w:pPr>
              <w:jc w:val="center"/>
              <w:rPr>
                <w:rFonts w:ascii="Arial Narrow" w:hAnsi="Arial Narrow"/>
                <w:b/>
                <w:bCs/>
                <w:color w:val="000000"/>
                <w:sz w:val="20"/>
                <w:szCs w:val="20"/>
              </w:rPr>
            </w:pPr>
            <w:r>
              <w:rPr>
                <w:rFonts w:ascii="Arial Narrow" w:hAnsi="Arial Narrow"/>
                <w:b/>
                <w:bCs/>
                <w:color w:val="000000"/>
                <w:sz w:val="20"/>
                <w:szCs w:val="20"/>
              </w:rPr>
              <w:t>60</w:t>
            </w:r>
          </w:p>
        </w:tc>
      </w:tr>
      <w:tr w:rsidR="00E0451D" w:rsidTr="00E0451D">
        <w:trPr>
          <w:trHeight w:hRule="exact" w:val="288"/>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5845D8" w:rsidRDefault="005845D8">
            <w:pPr>
              <w:rPr>
                <w:rFonts w:ascii="Arial Narrow" w:hAnsi="Arial Narrow"/>
                <w:i/>
                <w:iCs/>
                <w:color w:val="000000"/>
                <w:sz w:val="20"/>
                <w:szCs w:val="20"/>
              </w:rPr>
            </w:pPr>
            <w:r>
              <w:rPr>
                <w:rFonts w:ascii="Arial Narrow" w:hAnsi="Arial Narrow"/>
                <w:i/>
                <w:iCs/>
                <w:color w:val="000000"/>
                <w:sz w:val="20"/>
                <w:szCs w:val="20"/>
              </w:rPr>
              <w:t> </w:t>
            </w:r>
          </w:p>
        </w:tc>
        <w:tc>
          <w:tcPr>
            <w:tcW w:w="4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pPr>
              <w:rPr>
                <w:rFonts w:ascii="Arial Narrow" w:hAnsi="Arial Narrow"/>
                <w:i/>
                <w:iCs/>
                <w:color w:val="000000"/>
                <w:sz w:val="20"/>
                <w:szCs w:val="20"/>
              </w:rPr>
            </w:pPr>
            <w:r>
              <w:rPr>
                <w:rFonts w:ascii="Arial Narrow" w:hAnsi="Arial Narrow"/>
                <w:i/>
                <w:iCs/>
                <w:color w:val="000000"/>
                <w:sz w:val="20"/>
                <w:szCs w:val="20"/>
              </w:rPr>
              <w:t>City of Mati (capital)</w:t>
            </w:r>
          </w:p>
        </w:tc>
        <w:tc>
          <w:tcPr>
            <w:tcW w:w="4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1</w:t>
            </w:r>
          </w:p>
        </w:tc>
        <w:tc>
          <w:tcPr>
            <w:tcW w:w="3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5</w:t>
            </w:r>
          </w:p>
        </w:tc>
        <w:tc>
          <w:tcPr>
            <w:tcW w:w="3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25</w:t>
            </w:r>
          </w:p>
        </w:tc>
        <w:tc>
          <w:tcPr>
            <w:tcW w:w="5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w:t>
            </w:r>
          </w:p>
        </w:tc>
        <w:tc>
          <w:tcPr>
            <w:tcW w:w="3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w:t>
            </w:r>
          </w:p>
        </w:tc>
        <w:tc>
          <w:tcPr>
            <w:tcW w:w="3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w:t>
            </w:r>
          </w:p>
        </w:tc>
        <w:tc>
          <w:tcPr>
            <w:tcW w:w="3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5</w:t>
            </w:r>
          </w:p>
        </w:tc>
        <w:tc>
          <w:tcPr>
            <w:tcW w:w="3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25</w:t>
            </w:r>
          </w:p>
        </w:tc>
        <w:tc>
          <w:tcPr>
            <w:tcW w:w="3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5</w:t>
            </w:r>
          </w:p>
        </w:tc>
        <w:tc>
          <w:tcPr>
            <w:tcW w:w="3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25</w:t>
            </w:r>
          </w:p>
        </w:tc>
        <w:tc>
          <w:tcPr>
            <w:tcW w:w="2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5</w:t>
            </w:r>
          </w:p>
        </w:tc>
        <w:tc>
          <w:tcPr>
            <w:tcW w:w="27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1</w:t>
            </w:r>
          </w:p>
        </w:tc>
        <w:tc>
          <w:tcPr>
            <w:tcW w:w="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4</w:t>
            </w:r>
          </w:p>
        </w:tc>
      </w:tr>
      <w:tr w:rsidR="00E0451D" w:rsidTr="00E0451D">
        <w:trPr>
          <w:trHeight w:hRule="exact" w:val="288"/>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5845D8" w:rsidRDefault="005845D8">
            <w:pPr>
              <w:rPr>
                <w:rFonts w:ascii="Arial Narrow" w:hAnsi="Arial Narrow"/>
                <w:i/>
                <w:iCs/>
                <w:color w:val="000000"/>
                <w:sz w:val="20"/>
                <w:szCs w:val="20"/>
              </w:rPr>
            </w:pPr>
            <w:r>
              <w:rPr>
                <w:rFonts w:ascii="Arial Narrow" w:hAnsi="Arial Narrow"/>
                <w:i/>
                <w:iCs/>
                <w:color w:val="000000"/>
                <w:sz w:val="20"/>
                <w:szCs w:val="20"/>
              </w:rPr>
              <w:t> </w:t>
            </w:r>
          </w:p>
        </w:tc>
        <w:tc>
          <w:tcPr>
            <w:tcW w:w="4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pPr>
              <w:rPr>
                <w:rFonts w:ascii="Arial Narrow" w:hAnsi="Arial Narrow"/>
                <w:i/>
                <w:iCs/>
                <w:color w:val="000000"/>
                <w:sz w:val="20"/>
                <w:szCs w:val="20"/>
              </w:rPr>
            </w:pPr>
            <w:r>
              <w:rPr>
                <w:rFonts w:ascii="Arial Narrow" w:hAnsi="Arial Narrow"/>
                <w:i/>
                <w:iCs/>
                <w:color w:val="000000"/>
                <w:sz w:val="20"/>
                <w:szCs w:val="20"/>
              </w:rPr>
              <w:t>Tarragona</w:t>
            </w:r>
          </w:p>
        </w:tc>
        <w:tc>
          <w:tcPr>
            <w:tcW w:w="4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4</w:t>
            </w:r>
          </w:p>
        </w:tc>
        <w:tc>
          <w:tcPr>
            <w:tcW w:w="3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56</w:t>
            </w:r>
          </w:p>
        </w:tc>
        <w:tc>
          <w:tcPr>
            <w:tcW w:w="3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280</w:t>
            </w:r>
          </w:p>
        </w:tc>
        <w:tc>
          <w:tcPr>
            <w:tcW w:w="5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w:t>
            </w:r>
          </w:p>
        </w:tc>
        <w:tc>
          <w:tcPr>
            <w:tcW w:w="3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w:t>
            </w:r>
          </w:p>
        </w:tc>
        <w:tc>
          <w:tcPr>
            <w:tcW w:w="3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w:t>
            </w:r>
          </w:p>
        </w:tc>
        <w:tc>
          <w:tcPr>
            <w:tcW w:w="3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56</w:t>
            </w:r>
          </w:p>
        </w:tc>
        <w:tc>
          <w:tcPr>
            <w:tcW w:w="3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280</w:t>
            </w:r>
          </w:p>
        </w:tc>
        <w:tc>
          <w:tcPr>
            <w:tcW w:w="3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56</w:t>
            </w:r>
          </w:p>
        </w:tc>
        <w:tc>
          <w:tcPr>
            <w:tcW w:w="3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280</w:t>
            </w:r>
          </w:p>
        </w:tc>
        <w:tc>
          <w:tcPr>
            <w:tcW w:w="2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56</w:t>
            </w:r>
          </w:p>
        </w:tc>
        <w:tc>
          <w:tcPr>
            <w:tcW w:w="27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w:t>
            </w:r>
          </w:p>
        </w:tc>
        <w:tc>
          <w:tcPr>
            <w:tcW w:w="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845D8" w:rsidRDefault="005845D8" w:rsidP="005845D8">
            <w:pPr>
              <w:jc w:val="center"/>
              <w:rPr>
                <w:rFonts w:ascii="Arial Narrow" w:hAnsi="Arial Narrow"/>
                <w:i/>
                <w:iCs/>
                <w:sz w:val="20"/>
                <w:szCs w:val="20"/>
              </w:rPr>
            </w:pPr>
            <w:r>
              <w:rPr>
                <w:rFonts w:ascii="Arial Narrow" w:hAnsi="Arial Narrow"/>
                <w:i/>
                <w:iCs/>
                <w:sz w:val="20"/>
                <w:szCs w:val="20"/>
              </w:rPr>
              <w:t>56</w:t>
            </w:r>
          </w:p>
        </w:tc>
      </w:tr>
    </w:tbl>
    <w:p w:rsidR="00B16E58" w:rsidRDefault="00B16E58" w:rsidP="005845D8">
      <w:pPr>
        <w:pStyle w:val="NormalWeb"/>
        <w:spacing w:before="0" w:beforeAutospacing="0" w:after="0" w:afterAutospacing="0"/>
        <w:rPr>
          <w:rFonts w:ascii="Arial" w:hAnsi="Arial" w:cs="Arial"/>
          <w:i/>
          <w:iCs/>
          <w:color w:val="002060"/>
          <w:sz w:val="16"/>
          <w:szCs w:val="16"/>
        </w:rPr>
      </w:pPr>
    </w:p>
    <w:p w:rsidR="001223BA" w:rsidRPr="005845D8" w:rsidRDefault="00A115B7" w:rsidP="005845D8">
      <w:pPr>
        <w:pStyle w:val="NormalWeb"/>
        <w:spacing w:before="0" w:beforeAutospacing="0" w:after="0" w:afterAutospacing="0"/>
        <w:jc w:val="right"/>
      </w:pPr>
      <w:r>
        <w:rPr>
          <w:rFonts w:ascii="Arial" w:hAnsi="Arial" w:cs="Arial"/>
          <w:i/>
          <w:iCs/>
          <w:color w:val="002060"/>
          <w:sz w:val="16"/>
          <w:szCs w:val="16"/>
        </w:rPr>
        <w:t>Source: DSWD-Field Office XI</w:t>
      </w:r>
    </w:p>
    <w:p w:rsidR="005C32A5" w:rsidRDefault="005C32A5">
      <w:pPr>
        <w:spacing w:after="0" w:line="240" w:lineRule="auto"/>
        <w:rPr>
          <w:rFonts w:ascii="Arial" w:eastAsia="Arial" w:hAnsi="Arial" w:cs="Arial"/>
          <w:b/>
          <w:color w:val="002060"/>
          <w:sz w:val="28"/>
          <w:szCs w:val="28"/>
        </w:rPr>
      </w:pPr>
      <w:bookmarkStart w:id="3" w:name="_GoBack"/>
      <w:bookmarkEnd w:id="3"/>
    </w:p>
    <w:p w:rsidR="00FF22BB" w:rsidRDefault="005F5446">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rsidR="00FF22BB" w:rsidRDefault="00FF22BB">
      <w:pPr>
        <w:pStyle w:val="Heading1"/>
        <w:spacing w:before="0"/>
        <w:rPr>
          <w:rFonts w:ascii="Arial" w:eastAsia="Arial" w:hAnsi="Arial" w:cs="Arial"/>
          <w:b w:val="0"/>
          <w:sz w:val="24"/>
          <w:szCs w:val="24"/>
        </w:rPr>
      </w:pPr>
    </w:p>
    <w:p w:rsidR="00FF22BB" w:rsidRDefault="005F5446">
      <w:pPr>
        <w:pStyle w:val="Heading1"/>
        <w:spacing w:before="0"/>
        <w:rPr>
          <w:rFonts w:ascii="Arial" w:eastAsia="Arial" w:hAnsi="Arial" w:cs="Arial"/>
          <w:b w:val="0"/>
          <w:sz w:val="24"/>
          <w:szCs w:val="24"/>
        </w:rPr>
      </w:pPr>
      <w:r>
        <w:rPr>
          <w:rFonts w:ascii="Arial" w:eastAsia="Arial" w:hAnsi="Arial" w:cs="Arial"/>
          <w:sz w:val="24"/>
          <w:szCs w:val="24"/>
        </w:rPr>
        <w:t>DREAMB</w:t>
      </w:r>
    </w:p>
    <w:tbl>
      <w:tblPr>
        <w:tblStyle w:val="a1"/>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FF22BB">
        <w:trPr>
          <w:jc w:val="center"/>
        </w:trPr>
        <w:tc>
          <w:tcPr>
            <w:tcW w:w="2083" w:type="dxa"/>
            <w:vAlign w:val="bottom"/>
          </w:tcPr>
          <w:p w:rsidR="00FF22BB" w:rsidRDefault="005F5446">
            <w:pPr>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rsidR="00FF22BB" w:rsidRDefault="005F5446">
            <w:pPr>
              <w:jc w:val="center"/>
              <w:rPr>
                <w:rFonts w:ascii="Arial Narrow" w:eastAsia="Arial Narrow" w:hAnsi="Arial Narrow" w:cs="Arial Narrow"/>
                <w:b/>
                <w:sz w:val="20"/>
                <w:szCs w:val="20"/>
              </w:rPr>
            </w:pPr>
            <w:r>
              <w:rPr>
                <w:rFonts w:ascii="Arial Narrow" w:eastAsia="Arial Narrow" w:hAnsi="Arial Narrow" w:cs="Arial Narrow"/>
                <w:b/>
                <w:sz w:val="20"/>
                <w:szCs w:val="20"/>
              </w:rPr>
              <w:t>ACTION(S) TAKEN</w:t>
            </w:r>
          </w:p>
        </w:tc>
      </w:tr>
      <w:tr w:rsidR="00FF22BB" w:rsidRPr="00023D0D">
        <w:trPr>
          <w:jc w:val="center"/>
        </w:trPr>
        <w:tc>
          <w:tcPr>
            <w:tcW w:w="2083" w:type="dxa"/>
            <w:vAlign w:val="center"/>
          </w:tcPr>
          <w:p w:rsidR="00FF22BB" w:rsidRPr="00023D0D" w:rsidRDefault="001F69C6" w:rsidP="001F69C6">
            <w:pPr>
              <w:jc w:val="center"/>
              <w:rPr>
                <w:rFonts w:ascii="Arial Narrow" w:eastAsia="Arial Narrow" w:hAnsi="Arial Narrow" w:cs="Arial Narrow"/>
                <w:sz w:val="20"/>
                <w:szCs w:val="20"/>
              </w:rPr>
            </w:pPr>
            <w:r w:rsidRPr="00023D0D">
              <w:rPr>
                <w:rFonts w:ascii="Arial Narrow" w:eastAsia="Arial Narrow" w:hAnsi="Arial Narrow" w:cs="Arial Narrow"/>
                <w:sz w:val="20"/>
                <w:szCs w:val="20"/>
              </w:rPr>
              <w:t>08</w:t>
            </w:r>
            <w:r w:rsidR="005F5446" w:rsidRPr="00023D0D">
              <w:rPr>
                <w:rFonts w:ascii="Arial Narrow" w:eastAsia="Arial Narrow" w:hAnsi="Arial Narrow" w:cs="Arial Narrow"/>
                <w:sz w:val="20"/>
                <w:szCs w:val="20"/>
              </w:rPr>
              <w:t xml:space="preserve"> </w:t>
            </w:r>
            <w:r w:rsidRPr="00023D0D">
              <w:rPr>
                <w:rFonts w:ascii="Arial Narrow" w:eastAsia="Arial Narrow" w:hAnsi="Arial Narrow" w:cs="Arial Narrow"/>
                <w:sz w:val="20"/>
                <w:szCs w:val="20"/>
              </w:rPr>
              <w:t>September</w:t>
            </w:r>
            <w:r w:rsidR="005F5446" w:rsidRPr="00023D0D">
              <w:rPr>
                <w:rFonts w:ascii="Arial Narrow" w:eastAsia="Arial Narrow" w:hAnsi="Arial Narrow" w:cs="Arial Narrow"/>
                <w:sz w:val="20"/>
                <w:szCs w:val="20"/>
              </w:rPr>
              <w:t xml:space="preserve"> 2018</w:t>
            </w:r>
          </w:p>
        </w:tc>
        <w:tc>
          <w:tcPr>
            <w:tcW w:w="7800" w:type="dxa"/>
          </w:tcPr>
          <w:p w:rsidR="00FF22BB" w:rsidRPr="00023D0D" w:rsidRDefault="005F5446">
            <w:pPr>
              <w:numPr>
                <w:ilvl w:val="0"/>
                <w:numId w:val="1"/>
              </w:numPr>
              <w:ind w:left="206" w:hanging="206"/>
              <w:jc w:val="both"/>
              <w:rPr>
                <w:sz w:val="20"/>
                <w:szCs w:val="20"/>
              </w:rPr>
            </w:pPr>
            <w:r w:rsidRPr="00023D0D">
              <w:rPr>
                <w:rFonts w:ascii="Arial Narrow" w:eastAsia="Arial Narrow" w:hAnsi="Arial Narrow" w:cs="Arial Narrow"/>
                <w:sz w:val="20"/>
                <w:szCs w:val="20"/>
              </w:rPr>
              <w:t>The Disaster Response Operations Monitoring and Information Center (DROMIC) of DSWD-DReAMB is on standby for monitoring reports related to the Earthquake Incident</w:t>
            </w:r>
          </w:p>
        </w:tc>
      </w:tr>
    </w:tbl>
    <w:p w:rsidR="00FF22BB" w:rsidRPr="00023D0D" w:rsidRDefault="00FF22BB">
      <w:pPr>
        <w:widowControl/>
        <w:spacing w:after="0" w:line="240" w:lineRule="auto"/>
        <w:jc w:val="both"/>
        <w:rPr>
          <w:rFonts w:ascii="Arial" w:eastAsia="Arial" w:hAnsi="Arial" w:cs="Arial"/>
          <w:sz w:val="24"/>
          <w:szCs w:val="24"/>
        </w:rPr>
      </w:pPr>
    </w:p>
    <w:p w:rsidR="00800D6D" w:rsidRPr="00023D0D" w:rsidRDefault="00800D6D">
      <w:pPr>
        <w:widowControl/>
        <w:spacing w:after="0" w:line="240" w:lineRule="auto"/>
        <w:jc w:val="both"/>
        <w:rPr>
          <w:rFonts w:ascii="Arial" w:eastAsia="Arial" w:hAnsi="Arial" w:cs="Arial"/>
          <w:sz w:val="24"/>
          <w:szCs w:val="24"/>
        </w:rPr>
      </w:pPr>
    </w:p>
    <w:p w:rsidR="001F69C6" w:rsidRPr="00023D0D" w:rsidRDefault="001F69C6" w:rsidP="001F69C6">
      <w:pPr>
        <w:pStyle w:val="Heading1"/>
        <w:spacing w:before="0"/>
        <w:rPr>
          <w:rFonts w:ascii="Arial" w:eastAsia="Arial" w:hAnsi="Arial" w:cs="Arial"/>
          <w:b w:val="0"/>
          <w:sz w:val="24"/>
          <w:szCs w:val="24"/>
        </w:rPr>
      </w:pPr>
      <w:r w:rsidRPr="00023D0D">
        <w:rPr>
          <w:rFonts w:ascii="Arial" w:eastAsia="Arial" w:hAnsi="Arial" w:cs="Arial"/>
          <w:sz w:val="24"/>
          <w:szCs w:val="24"/>
        </w:rPr>
        <w:t>FO XI</w:t>
      </w:r>
    </w:p>
    <w:tbl>
      <w:tblPr>
        <w:tblStyle w:val="a1"/>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023D0D" w:rsidRPr="00023D0D" w:rsidTr="006F47C6">
        <w:trPr>
          <w:jc w:val="center"/>
        </w:trPr>
        <w:tc>
          <w:tcPr>
            <w:tcW w:w="2083" w:type="dxa"/>
            <w:vAlign w:val="bottom"/>
          </w:tcPr>
          <w:p w:rsidR="001F69C6" w:rsidRPr="00023D0D" w:rsidRDefault="001F69C6" w:rsidP="006F47C6">
            <w:pPr>
              <w:jc w:val="center"/>
              <w:rPr>
                <w:rFonts w:ascii="Arial Narrow" w:eastAsia="Arial Narrow" w:hAnsi="Arial Narrow" w:cs="Arial Narrow"/>
                <w:b/>
                <w:sz w:val="20"/>
                <w:szCs w:val="20"/>
              </w:rPr>
            </w:pPr>
            <w:r w:rsidRPr="00023D0D">
              <w:rPr>
                <w:rFonts w:ascii="Arial Narrow" w:eastAsia="Arial Narrow" w:hAnsi="Arial Narrow" w:cs="Arial Narrow"/>
                <w:b/>
                <w:sz w:val="20"/>
                <w:szCs w:val="20"/>
              </w:rPr>
              <w:t>DATE</w:t>
            </w:r>
          </w:p>
        </w:tc>
        <w:tc>
          <w:tcPr>
            <w:tcW w:w="7800" w:type="dxa"/>
            <w:vAlign w:val="bottom"/>
          </w:tcPr>
          <w:p w:rsidR="001F69C6" w:rsidRPr="00023D0D" w:rsidRDefault="001F69C6" w:rsidP="006F47C6">
            <w:pPr>
              <w:jc w:val="center"/>
              <w:rPr>
                <w:rFonts w:ascii="Arial Narrow" w:eastAsia="Arial Narrow" w:hAnsi="Arial Narrow" w:cs="Arial Narrow"/>
                <w:b/>
                <w:sz w:val="20"/>
                <w:szCs w:val="20"/>
              </w:rPr>
            </w:pPr>
            <w:r w:rsidRPr="00023D0D">
              <w:rPr>
                <w:rFonts w:ascii="Arial Narrow" w:eastAsia="Arial Narrow" w:hAnsi="Arial Narrow" w:cs="Arial Narrow"/>
                <w:b/>
                <w:sz w:val="20"/>
                <w:szCs w:val="20"/>
              </w:rPr>
              <w:t>ACTION(S) TAKEN</w:t>
            </w:r>
          </w:p>
        </w:tc>
      </w:tr>
      <w:tr w:rsidR="00023D0D" w:rsidRPr="00023D0D" w:rsidTr="00800D6D">
        <w:trPr>
          <w:trHeight w:val="260"/>
          <w:jc w:val="center"/>
        </w:trPr>
        <w:tc>
          <w:tcPr>
            <w:tcW w:w="2083" w:type="dxa"/>
            <w:vAlign w:val="center"/>
          </w:tcPr>
          <w:p w:rsidR="001F69C6" w:rsidRPr="00023D0D" w:rsidRDefault="001F69C6" w:rsidP="001F69C6">
            <w:pPr>
              <w:jc w:val="center"/>
              <w:rPr>
                <w:rFonts w:ascii="Arial Narrow" w:eastAsia="Arial Narrow" w:hAnsi="Arial Narrow" w:cs="Arial Narrow"/>
                <w:sz w:val="20"/>
                <w:szCs w:val="20"/>
              </w:rPr>
            </w:pPr>
            <w:r w:rsidRPr="00023D0D">
              <w:rPr>
                <w:rFonts w:ascii="Arial Narrow" w:eastAsia="Arial Narrow" w:hAnsi="Arial Narrow" w:cs="Arial Narrow"/>
                <w:sz w:val="20"/>
                <w:szCs w:val="20"/>
              </w:rPr>
              <w:t>08 September 2018</w:t>
            </w:r>
          </w:p>
        </w:tc>
        <w:tc>
          <w:tcPr>
            <w:tcW w:w="7800" w:type="dxa"/>
          </w:tcPr>
          <w:p w:rsidR="001F69C6" w:rsidRPr="00023D0D" w:rsidRDefault="001F69C6" w:rsidP="001F69C6">
            <w:pPr>
              <w:numPr>
                <w:ilvl w:val="0"/>
                <w:numId w:val="1"/>
              </w:numPr>
              <w:jc w:val="both"/>
              <w:rPr>
                <w:sz w:val="20"/>
                <w:szCs w:val="20"/>
              </w:rPr>
            </w:pPr>
            <w:r w:rsidRPr="00023D0D">
              <w:rPr>
                <w:rFonts w:ascii="Arial Narrow" w:eastAsia="Arial Narrow" w:hAnsi="Arial Narrow" w:cs="Arial Narrow"/>
                <w:sz w:val="20"/>
                <w:szCs w:val="20"/>
              </w:rPr>
              <w:t xml:space="preserve">There are no reported casualties and damages or any affected families and individuals in line with the incident. Possibilities of aftershocks have been negated by Phivolcs.  </w:t>
            </w:r>
          </w:p>
        </w:tc>
      </w:tr>
      <w:tr w:rsidR="00023D0D" w:rsidRPr="00023D0D" w:rsidTr="00800D6D">
        <w:trPr>
          <w:trHeight w:val="260"/>
          <w:jc w:val="center"/>
        </w:trPr>
        <w:tc>
          <w:tcPr>
            <w:tcW w:w="2083" w:type="dxa"/>
            <w:vAlign w:val="center"/>
          </w:tcPr>
          <w:p w:rsidR="00023D0D" w:rsidRPr="00023D0D" w:rsidRDefault="004D4856" w:rsidP="004D4856">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09 September 2018 </w:t>
            </w:r>
          </w:p>
        </w:tc>
        <w:tc>
          <w:tcPr>
            <w:tcW w:w="7800" w:type="dxa"/>
          </w:tcPr>
          <w:p w:rsidR="004D4856" w:rsidRPr="004D4856" w:rsidRDefault="004D4856" w:rsidP="004D4856">
            <w:pPr>
              <w:numPr>
                <w:ilvl w:val="0"/>
                <w:numId w:val="1"/>
              </w:numPr>
              <w:jc w:val="both"/>
              <w:rPr>
                <w:rFonts w:ascii="Arial Narrow" w:eastAsia="Arial Narrow" w:hAnsi="Arial Narrow" w:cs="Arial Narrow"/>
                <w:color w:val="1F497D" w:themeColor="text2"/>
                <w:sz w:val="20"/>
                <w:szCs w:val="20"/>
              </w:rPr>
            </w:pPr>
            <w:r w:rsidRPr="004D4856">
              <w:rPr>
                <w:rFonts w:ascii="Arial Narrow" w:eastAsia="Arial Narrow" w:hAnsi="Arial Narrow" w:cs="Arial Narrow"/>
                <w:color w:val="1F497D" w:themeColor="text2"/>
                <w:sz w:val="20"/>
                <w:szCs w:val="20"/>
              </w:rPr>
              <w:t xml:space="preserve">Based on the partial and unofficial information provided by the PDRRMO of Davao Oriental, allegedly one (1) house was totally damaged and another four (4) houses were partially damaged in Liberty, Islamic Area, Magsaysay, Mati City, Davao Oriental due to the powerful earthquake. There are no reported casualties and the said affected families are currently staying with their friends and relatives in the area. </w:t>
            </w:r>
          </w:p>
          <w:p w:rsidR="004D4856" w:rsidRPr="004D4856" w:rsidRDefault="004D4856" w:rsidP="004D4856">
            <w:pPr>
              <w:numPr>
                <w:ilvl w:val="0"/>
                <w:numId w:val="1"/>
              </w:numPr>
              <w:jc w:val="both"/>
              <w:rPr>
                <w:rFonts w:ascii="Arial Narrow" w:eastAsia="Arial Narrow" w:hAnsi="Arial Narrow" w:cs="Arial Narrow"/>
                <w:color w:val="1F497D" w:themeColor="text2"/>
                <w:sz w:val="20"/>
                <w:szCs w:val="20"/>
              </w:rPr>
            </w:pPr>
            <w:r w:rsidRPr="004D4856">
              <w:rPr>
                <w:rFonts w:ascii="Arial Narrow" w:eastAsia="Arial Narrow" w:hAnsi="Arial Narrow" w:cs="Arial Narrow"/>
                <w:color w:val="1F497D" w:themeColor="text2"/>
                <w:sz w:val="20"/>
                <w:szCs w:val="20"/>
              </w:rPr>
              <w:lastRenderedPageBreak/>
              <w:t>MDRRMO of Tarragona, Davao Oriental also reported that in Barangay Central, one (1) house was partially damaged located in Purok NASA 2, The Regional Evacuation Center was also partially damaged and the National Road was also partially damaged along Purok Buhangin all under Brgy. Central. Meanwhile, in Barangay Jovellar, a landslide occurred in the area of Purok Cambitan but no reports of any damaged houses or affected families. In Brgy. Tomoaong, one (1) lane of the road was damaged due to rocks that fell. Thus, in Brgy. Maganda, there were also reports of several houses that were damaged and partially damaged roads due to tension cracks. Lastly, a landslide also allegedly occurred at the Tagubon area of Brgy. Lucatan.</w:t>
            </w:r>
          </w:p>
          <w:p w:rsidR="00023D0D" w:rsidRPr="00023D0D" w:rsidRDefault="00023D0D" w:rsidP="001F69C6">
            <w:pPr>
              <w:numPr>
                <w:ilvl w:val="0"/>
                <w:numId w:val="1"/>
              </w:numPr>
              <w:jc w:val="both"/>
              <w:rPr>
                <w:rFonts w:ascii="Arial Narrow" w:eastAsia="Arial Narrow" w:hAnsi="Arial Narrow" w:cs="Arial Narrow"/>
                <w:sz w:val="20"/>
                <w:szCs w:val="20"/>
              </w:rPr>
            </w:pPr>
            <w:r w:rsidRPr="004D4856">
              <w:rPr>
                <w:rFonts w:ascii="Arial Narrow" w:eastAsia="Arial Narrow" w:hAnsi="Arial Narrow" w:cs="Arial Narrow"/>
                <w:color w:val="1F497D" w:themeColor="text2"/>
                <w:sz w:val="20"/>
                <w:szCs w:val="20"/>
              </w:rPr>
              <w:t>DSWD SWAD Team in Davao Oriental has already been coordinated and requested to conduct necessary action to be able to provide augmentation assistance to affected population if needed</w:t>
            </w:r>
            <w:r w:rsidRPr="00023D0D">
              <w:rPr>
                <w:rFonts w:ascii="Arial Narrow" w:eastAsia="Arial Narrow" w:hAnsi="Arial Narrow" w:cs="Arial Narrow"/>
                <w:color w:val="1F497D" w:themeColor="text2"/>
                <w:sz w:val="20"/>
                <w:szCs w:val="20"/>
              </w:rPr>
              <w:t>.</w:t>
            </w:r>
          </w:p>
        </w:tc>
      </w:tr>
    </w:tbl>
    <w:p w:rsidR="001F69C6" w:rsidRDefault="001F69C6">
      <w:pPr>
        <w:widowControl/>
        <w:spacing w:after="0" w:line="240" w:lineRule="auto"/>
        <w:jc w:val="center"/>
        <w:rPr>
          <w:rFonts w:ascii="Arial" w:eastAsia="Arial" w:hAnsi="Arial" w:cs="Arial"/>
          <w:sz w:val="20"/>
          <w:szCs w:val="20"/>
        </w:rPr>
      </w:pPr>
    </w:p>
    <w:p w:rsidR="00FF22BB" w:rsidRDefault="005F5446">
      <w:pPr>
        <w:widowControl/>
        <w:spacing w:after="0" w:line="240" w:lineRule="auto"/>
        <w:jc w:val="center"/>
        <w:rPr>
          <w:rFonts w:ascii="Arial" w:eastAsia="Arial" w:hAnsi="Arial" w:cs="Arial"/>
          <w:sz w:val="20"/>
          <w:szCs w:val="20"/>
        </w:rPr>
      </w:pPr>
      <w:r>
        <w:rPr>
          <w:rFonts w:ascii="Arial" w:eastAsia="Arial" w:hAnsi="Arial" w:cs="Arial"/>
          <w:sz w:val="20"/>
          <w:szCs w:val="20"/>
        </w:rPr>
        <w:t>***</w:t>
      </w:r>
    </w:p>
    <w:p w:rsidR="00845097" w:rsidRPr="00845097" w:rsidRDefault="00845097" w:rsidP="00845097">
      <w:pPr>
        <w:spacing w:after="0" w:line="240" w:lineRule="auto"/>
        <w:jc w:val="both"/>
        <w:rPr>
          <w:rFonts w:ascii="Arial" w:eastAsia="Arial" w:hAnsi="Arial" w:cs="Arial"/>
          <w:i/>
          <w:color w:val="263238"/>
          <w:sz w:val="20"/>
          <w:szCs w:val="20"/>
        </w:rPr>
      </w:pPr>
      <w:r w:rsidRPr="00845097">
        <w:rPr>
          <w:rFonts w:ascii="Arial" w:eastAsia="Arial" w:hAnsi="Arial" w:cs="Arial"/>
          <w:i/>
          <w:iCs/>
          <w:color w:val="263238"/>
          <w:sz w:val="20"/>
          <w:szCs w:val="20"/>
        </w:rPr>
        <w:t xml:space="preserve">The Disaster Response Operations Monitoring and Information Center (DROMIC) of the DSWD continues to closely coordinate with </w:t>
      </w:r>
      <w:r>
        <w:rPr>
          <w:rFonts w:ascii="Arial" w:eastAsia="Arial" w:hAnsi="Arial" w:cs="Arial"/>
          <w:i/>
          <w:iCs/>
          <w:color w:val="263238"/>
          <w:sz w:val="20"/>
          <w:szCs w:val="20"/>
        </w:rPr>
        <w:t>DSWD–Field Office XI</w:t>
      </w:r>
      <w:r w:rsidRPr="00845097">
        <w:rPr>
          <w:rFonts w:ascii="Arial" w:eastAsia="Arial" w:hAnsi="Arial" w:cs="Arial"/>
          <w:i/>
          <w:iCs/>
          <w:color w:val="263238"/>
          <w:sz w:val="20"/>
          <w:szCs w:val="20"/>
        </w:rPr>
        <w:t xml:space="preserve"> for significant reports on the provision of assistance to the affected individuals and their families.</w:t>
      </w:r>
    </w:p>
    <w:p w:rsidR="00302CB0" w:rsidRDefault="00302CB0">
      <w:pPr>
        <w:spacing w:after="0" w:line="240" w:lineRule="auto"/>
        <w:jc w:val="both"/>
        <w:rPr>
          <w:rFonts w:ascii="Arial" w:eastAsia="Arial" w:hAnsi="Arial" w:cs="Arial"/>
          <w:sz w:val="24"/>
          <w:szCs w:val="24"/>
        </w:rPr>
      </w:pPr>
    </w:p>
    <w:p w:rsidR="00FF22BB" w:rsidRDefault="00FF22BB">
      <w:pPr>
        <w:spacing w:after="0" w:line="240" w:lineRule="auto"/>
        <w:jc w:val="both"/>
        <w:rPr>
          <w:rFonts w:ascii="Arial" w:eastAsia="Arial" w:hAnsi="Arial" w:cs="Arial"/>
          <w:sz w:val="24"/>
          <w:szCs w:val="24"/>
        </w:rPr>
      </w:pPr>
    </w:p>
    <w:p w:rsidR="00FF22BB" w:rsidRDefault="005845D8">
      <w:pPr>
        <w:spacing w:after="0" w:line="240" w:lineRule="auto"/>
        <w:jc w:val="both"/>
        <w:rPr>
          <w:rFonts w:ascii="Arial" w:eastAsia="Arial" w:hAnsi="Arial" w:cs="Arial"/>
          <w:b/>
          <w:sz w:val="24"/>
          <w:szCs w:val="24"/>
        </w:rPr>
      </w:pPr>
      <w:bookmarkStart w:id="4" w:name="_3znysh7" w:colFirst="0" w:colLast="0"/>
      <w:bookmarkEnd w:id="4"/>
      <w:r>
        <w:rPr>
          <w:rFonts w:ascii="Arial" w:eastAsia="Arial" w:hAnsi="Arial" w:cs="Arial"/>
          <w:b/>
          <w:sz w:val="24"/>
          <w:szCs w:val="24"/>
        </w:rPr>
        <w:t>RODEL V. CABADDU</w:t>
      </w:r>
    </w:p>
    <w:p w:rsidR="00FF22BB" w:rsidRDefault="005F5446">
      <w:pPr>
        <w:spacing w:after="0" w:line="240" w:lineRule="auto"/>
        <w:jc w:val="both"/>
        <w:rPr>
          <w:rFonts w:ascii="Arial" w:eastAsia="Arial" w:hAnsi="Arial" w:cs="Arial"/>
          <w:sz w:val="24"/>
          <w:szCs w:val="24"/>
        </w:rPr>
      </w:pPr>
      <w:r>
        <w:rPr>
          <w:rFonts w:ascii="Arial" w:eastAsia="Arial" w:hAnsi="Arial" w:cs="Arial"/>
          <w:sz w:val="24"/>
          <w:szCs w:val="24"/>
        </w:rPr>
        <w:t>Releasing Officer</w:t>
      </w:r>
    </w:p>
    <w:p w:rsidR="00FF22BB" w:rsidRDefault="00FF22BB"/>
    <w:sectPr w:rsidR="00FF22BB">
      <w:headerReference w:type="default" r:id="rId8"/>
      <w:footerReference w:type="default" r:id="rId9"/>
      <w:pgSz w:w="11907" w:h="16839"/>
      <w:pgMar w:top="72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BE" w:rsidRDefault="00000EBE">
      <w:pPr>
        <w:spacing w:after="0" w:line="240" w:lineRule="auto"/>
      </w:pPr>
      <w:r>
        <w:separator/>
      </w:r>
    </w:p>
  </w:endnote>
  <w:endnote w:type="continuationSeparator" w:id="0">
    <w:p w:rsidR="00000EBE" w:rsidRDefault="0000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BB" w:rsidRDefault="00FF22BB">
    <w:pPr>
      <w:pBdr>
        <w:bottom w:val="single" w:sz="6" w:space="1" w:color="000000"/>
      </w:pBdr>
      <w:tabs>
        <w:tab w:val="left" w:pos="2371"/>
        <w:tab w:val="center" w:pos="5233"/>
      </w:tabs>
      <w:spacing w:after="0" w:line="240" w:lineRule="auto"/>
      <w:jc w:val="right"/>
      <w:rPr>
        <w:sz w:val="16"/>
        <w:szCs w:val="16"/>
      </w:rPr>
    </w:pPr>
  </w:p>
  <w:p w:rsidR="00FF22BB" w:rsidRDefault="005F5446">
    <w:pPr>
      <w:tabs>
        <w:tab w:val="center" w:pos="4680"/>
        <w:tab w:val="right" w:pos="9360"/>
      </w:tabs>
      <w:spacing w:after="0" w:line="240" w:lineRule="auto"/>
      <w:jc w:val="right"/>
      <w:rPr>
        <w:sz w:val="18"/>
        <w:szCs w:val="18"/>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C778A">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C778A">
      <w:rPr>
        <w:b/>
        <w:noProof/>
        <w:sz w:val="16"/>
        <w:szCs w:val="16"/>
      </w:rPr>
      <w:t>2</w:t>
    </w:r>
    <w:r>
      <w:rPr>
        <w:b/>
        <w:sz w:val="16"/>
        <w:szCs w:val="16"/>
      </w:rPr>
      <w:fldChar w:fldCharType="end"/>
    </w:r>
    <w:r>
      <w:rPr>
        <w:sz w:val="16"/>
        <w:szCs w:val="16"/>
      </w:rPr>
      <w:t xml:space="preserve">| </w:t>
    </w:r>
    <w:r w:rsidR="002A785C">
      <w:rPr>
        <w:sz w:val="18"/>
        <w:szCs w:val="18"/>
      </w:rPr>
      <w:t>DSWD DROMIC  Report #2</w:t>
    </w:r>
    <w:r>
      <w:rPr>
        <w:sz w:val="18"/>
        <w:szCs w:val="18"/>
      </w:rPr>
      <w:t xml:space="preserve"> on the Earthquake Incident in </w:t>
    </w:r>
    <w:r w:rsidR="001F69C6">
      <w:rPr>
        <w:sz w:val="18"/>
        <w:szCs w:val="18"/>
      </w:rPr>
      <w:t>Manay</w:t>
    </w:r>
    <w:r>
      <w:rPr>
        <w:sz w:val="18"/>
        <w:szCs w:val="18"/>
      </w:rPr>
      <w:t xml:space="preserve">, </w:t>
    </w:r>
    <w:r w:rsidR="001F69C6">
      <w:rPr>
        <w:sz w:val="18"/>
        <w:szCs w:val="18"/>
      </w:rPr>
      <w:t>Davao Oriental</w:t>
    </w:r>
  </w:p>
  <w:p w:rsidR="00FF22BB" w:rsidRDefault="002A785C">
    <w:pPr>
      <w:tabs>
        <w:tab w:val="left" w:pos="2371"/>
        <w:tab w:val="center" w:pos="5233"/>
      </w:tabs>
      <w:spacing w:after="720" w:line="240" w:lineRule="auto"/>
      <w:jc w:val="right"/>
      <w:rPr>
        <w:rFonts w:ascii="Arial" w:eastAsia="Arial" w:hAnsi="Arial" w:cs="Arial"/>
        <w:sz w:val="16"/>
        <w:szCs w:val="16"/>
      </w:rPr>
    </w:pPr>
    <w:r>
      <w:rPr>
        <w:sz w:val="16"/>
        <w:szCs w:val="16"/>
      </w:rPr>
      <w:t>as of 10</w:t>
    </w:r>
    <w:r w:rsidR="005F5446">
      <w:rPr>
        <w:sz w:val="16"/>
        <w:szCs w:val="16"/>
      </w:rPr>
      <w:t xml:space="preserve"> </w:t>
    </w:r>
    <w:r w:rsidR="001F69C6">
      <w:rPr>
        <w:sz w:val="16"/>
        <w:szCs w:val="16"/>
      </w:rPr>
      <w:t xml:space="preserve">September 2018, </w:t>
    </w:r>
    <w:r w:rsidR="00E0451D">
      <w:rPr>
        <w:sz w:val="16"/>
        <w:szCs w:val="16"/>
      </w:rPr>
      <w:t>6P</w:t>
    </w:r>
    <w:r w:rsidR="005F5446">
      <w:rPr>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BE" w:rsidRDefault="00000EBE">
      <w:pPr>
        <w:spacing w:after="0" w:line="240" w:lineRule="auto"/>
      </w:pPr>
      <w:r>
        <w:separator/>
      </w:r>
    </w:p>
  </w:footnote>
  <w:footnote w:type="continuationSeparator" w:id="0">
    <w:p w:rsidR="00000EBE" w:rsidRDefault="0000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BB" w:rsidRDefault="005F5446">
    <w:pPr>
      <w:tabs>
        <w:tab w:val="center" w:pos="4680"/>
        <w:tab w:val="right" w:pos="9360"/>
      </w:tabs>
      <w:spacing w:after="0" w:line="240" w:lineRule="auto"/>
    </w:pPr>
    <w:r>
      <w:rPr>
        <w:noProof/>
      </w:rPr>
      <w:drawing>
        <wp:inline distT="0" distB="0" distL="0" distR="0" wp14:anchorId="7428770B" wp14:editId="4F6BD1BA">
          <wp:extent cx="6189345" cy="83693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189345" cy="8369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204F"/>
    <w:multiLevelType w:val="multilevel"/>
    <w:tmpl w:val="44BE988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BB"/>
    <w:rsid w:val="00000EBE"/>
    <w:rsid w:val="00023D0D"/>
    <w:rsid w:val="001223BA"/>
    <w:rsid w:val="00157BD0"/>
    <w:rsid w:val="001F69C6"/>
    <w:rsid w:val="0028395E"/>
    <w:rsid w:val="002A785C"/>
    <w:rsid w:val="00302CB0"/>
    <w:rsid w:val="00346FEB"/>
    <w:rsid w:val="003F47B9"/>
    <w:rsid w:val="004B575D"/>
    <w:rsid w:val="004D4856"/>
    <w:rsid w:val="005845D8"/>
    <w:rsid w:val="005C32A5"/>
    <w:rsid w:val="005F5446"/>
    <w:rsid w:val="006F324A"/>
    <w:rsid w:val="00713F34"/>
    <w:rsid w:val="00767C38"/>
    <w:rsid w:val="00787851"/>
    <w:rsid w:val="007C4F6C"/>
    <w:rsid w:val="007D2E2F"/>
    <w:rsid w:val="00800D6D"/>
    <w:rsid w:val="00845097"/>
    <w:rsid w:val="008F5975"/>
    <w:rsid w:val="00922F5F"/>
    <w:rsid w:val="00A115B7"/>
    <w:rsid w:val="00B16E58"/>
    <w:rsid w:val="00BC48C8"/>
    <w:rsid w:val="00BE5074"/>
    <w:rsid w:val="00D24D88"/>
    <w:rsid w:val="00D828A0"/>
    <w:rsid w:val="00D96F4E"/>
    <w:rsid w:val="00DF1239"/>
    <w:rsid w:val="00E0451D"/>
    <w:rsid w:val="00E41627"/>
    <w:rsid w:val="00E94BAC"/>
    <w:rsid w:val="00EC778A"/>
    <w:rsid w:val="00FF22B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F34"/>
  <w15:docId w15:val="{77B27212-24A6-4D09-A36D-427AFE34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F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9C6"/>
  </w:style>
  <w:style w:type="paragraph" w:styleId="Footer">
    <w:name w:val="footer"/>
    <w:basedOn w:val="Normal"/>
    <w:link w:val="FooterChar"/>
    <w:uiPriority w:val="99"/>
    <w:unhideWhenUsed/>
    <w:rsid w:val="001F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9C6"/>
  </w:style>
  <w:style w:type="paragraph" w:styleId="BalloonText">
    <w:name w:val="Balloon Text"/>
    <w:basedOn w:val="Normal"/>
    <w:link w:val="BalloonTextChar"/>
    <w:uiPriority w:val="99"/>
    <w:semiHidden/>
    <w:unhideWhenUsed/>
    <w:rsid w:val="007C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6C"/>
    <w:rPr>
      <w:rFonts w:ascii="Tahoma" w:hAnsi="Tahoma" w:cs="Tahoma"/>
      <w:sz w:val="16"/>
      <w:szCs w:val="16"/>
    </w:rPr>
  </w:style>
  <w:style w:type="paragraph" w:styleId="NormalWeb">
    <w:name w:val="Normal (Web)"/>
    <w:basedOn w:val="Normal"/>
    <w:uiPriority w:val="99"/>
    <w:unhideWhenUsed/>
    <w:rsid w:val="00A115B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3D0D"/>
    <w:pPr>
      <w:widowControl/>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423">
      <w:bodyDiv w:val="1"/>
      <w:marLeft w:val="0"/>
      <w:marRight w:val="0"/>
      <w:marTop w:val="0"/>
      <w:marBottom w:val="0"/>
      <w:divBdr>
        <w:top w:val="none" w:sz="0" w:space="0" w:color="auto"/>
        <w:left w:val="none" w:sz="0" w:space="0" w:color="auto"/>
        <w:bottom w:val="none" w:sz="0" w:space="0" w:color="auto"/>
        <w:right w:val="none" w:sz="0" w:space="0" w:color="auto"/>
      </w:divBdr>
    </w:div>
    <w:div w:id="95487812">
      <w:bodyDiv w:val="1"/>
      <w:marLeft w:val="0"/>
      <w:marRight w:val="0"/>
      <w:marTop w:val="0"/>
      <w:marBottom w:val="0"/>
      <w:divBdr>
        <w:top w:val="none" w:sz="0" w:space="0" w:color="auto"/>
        <w:left w:val="none" w:sz="0" w:space="0" w:color="auto"/>
        <w:bottom w:val="none" w:sz="0" w:space="0" w:color="auto"/>
        <w:right w:val="none" w:sz="0" w:space="0" w:color="auto"/>
      </w:divBdr>
    </w:div>
    <w:div w:id="153305848">
      <w:bodyDiv w:val="1"/>
      <w:marLeft w:val="0"/>
      <w:marRight w:val="0"/>
      <w:marTop w:val="0"/>
      <w:marBottom w:val="0"/>
      <w:divBdr>
        <w:top w:val="none" w:sz="0" w:space="0" w:color="auto"/>
        <w:left w:val="none" w:sz="0" w:space="0" w:color="auto"/>
        <w:bottom w:val="none" w:sz="0" w:space="0" w:color="auto"/>
        <w:right w:val="none" w:sz="0" w:space="0" w:color="auto"/>
      </w:divBdr>
      <w:divsChild>
        <w:div w:id="2070953508">
          <w:marLeft w:val="-115"/>
          <w:marRight w:val="0"/>
          <w:marTop w:val="0"/>
          <w:marBottom w:val="0"/>
          <w:divBdr>
            <w:top w:val="none" w:sz="0" w:space="0" w:color="auto"/>
            <w:left w:val="none" w:sz="0" w:space="0" w:color="auto"/>
            <w:bottom w:val="none" w:sz="0" w:space="0" w:color="auto"/>
            <w:right w:val="none" w:sz="0" w:space="0" w:color="auto"/>
          </w:divBdr>
        </w:div>
      </w:divsChild>
    </w:div>
    <w:div w:id="428157254">
      <w:bodyDiv w:val="1"/>
      <w:marLeft w:val="0"/>
      <w:marRight w:val="0"/>
      <w:marTop w:val="0"/>
      <w:marBottom w:val="0"/>
      <w:divBdr>
        <w:top w:val="none" w:sz="0" w:space="0" w:color="auto"/>
        <w:left w:val="none" w:sz="0" w:space="0" w:color="auto"/>
        <w:bottom w:val="none" w:sz="0" w:space="0" w:color="auto"/>
        <w:right w:val="none" w:sz="0" w:space="0" w:color="auto"/>
      </w:divBdr>
    </w:div>
    <w:div w:id="636884230">
      <w:bodyDiv w:val="1"/>
      <w:marLeft w:val="0"/>
      <w:marRight w:val="0"/>
      <w:marTop w:val="0"/>
      <w:marBottom w:val="0"/>
      <w:divBdr>
        <w:top w:val="none" w:sz="0" w:space="0" w:color="auto"/>
        <w:left w:val="none" w:sz="0" w:space="0" w:color="auto"/>
        <w:bottom w:val="none" w:sz="0" w:space="0" w:color="auto"/>
        <w:right w:val="none" w:sz="0" w:space="0" w:color="auto"/>
      </w:divBdr>
    </w:div>
    <w:div w:id="691305650">
      <w:bodyDiv w:val="1"/>
      <w:marLeft w:val="0"/>
      <w:marRight w:val="0"/>
      <w:marTop w:val="0"/>
      <w:marBottom w:val="0"/>
      <w:divBdr>
        <w:top w:val="none" w:sz="0" w:space="0" w:color="auto"/>
        <w:left w:val="none" w:sz="0" w:space="0" w:color="auto"/>
        <w:bottom w:val="none" w:sz="0" w:space="0" w:color="auto"/>
        <w:right w:val="none" w:sz="0" w:space="0" w:color="auto"/>
      </w:divBdr>
    </w:div>
    <w:div w:id="742992505">
      <w:bodyDiv w:val="1"/>
      <w:marLeft w:val="0"/>
      <w:marRight w:val="0"/>
      <w:marTop w:val="0"/>
      <w:marBottom w:val="0"/>
      <w:divBdr>
        <w:top w:val="none" w:sz="0" w:space="0" w:color="auto"/>
        <w:left w:val="none" w:sz="0" w:space="0" w:color="auto"/>
        <w:bottom w:val="none" w:sz="0" w:space="0" w:color="auto"/>
        <w:right w:val="none" w:sz="0" w:space="0" w:color="auto"/>
      </w:divBdr>
    </w:div>
    <w:div w:id="1058093384">
      <w:bodyDiv w:val="1"/>
      <w:marLeft w:val="0"/>
      <w:marRight w:val="0"/>
      <w:marTop w:val="0"/>
      <w:marBottom w:val="0"/>
      <w:divBdr>
        <w:top w:val="none" w:sz="0" w:space="0" w:color="auto"/>
        <w:left w:val="none" w:sz="0" w:space="0" w:color="auto"/>
        <w:bottom w:val="none" w:sz="0" w:space="0" w:color="auto"/>
        <w:right w:val="none" w:sz="0" w:space="0" w:color="auto"/>
      </w:divBdr>
    </w:div>
    <w:div w:id="1191526936">
      <w:bodyDiv w:val="1"/>
      <w:marLeft w:val="0"/>
      <w:marRight w:val="0"/>
      <w:marTop w:val="0"/>
      <w:marBottom w:val="0"/>
      <w:divBdr>
        <w:top w:val="none" w:sz="0" w:space="0" w:color="auto"/>
        <w:left w:val="none" w:sz="0" w:space="0" w:color="auto"/>
        <w:bottom w:val="none" w:sz="0" w:space="0" w:color="auto"/>
        <w:right w:val="none" w:sz="0" w:space="0" w:color="auto"/>
      </w:divBdr>
    </w:div>
    <w:div w:id="1661075818">
      <w:bodyDiv w:val="1"/>
      <w:marLeft w:val="0"/>
      <w:marRight w:val="0"/>
      <w:marTop w:val="0"/>
      <w:marBottom w:val="0"/>
      <w:divBdr>
        <w:top w:val="none" w:sz="0" w:space="0" w:color="auto"/>
        <w:left w:val="none" w:sz="0" w:space="0" w:color="auto"/>
        <w:bottom w:val="none" w:sz="0" w:space="0" w:color="auto"/>
        <w:right w:val="none" w:sz="0" w:space="0" w:color="auto"/>
      </w:divBdr>
    </w:div>
    <w:div w:id="1893492558">
      <w:bodyDiv w:val="1"/>
      <w:marLeft w:val="0"/>
      <w:marRight w:val="0"/>
      <w:marTop w:val="0"/>
      <w:marBottom w:val="0"/>
      <w:divBdr>
        <w:top w:val="none" w:sz="0" w:space="0" w:color="auto"/>
        <w:left w:val="none" w:sz="0" w:space="0" w:color="auto"/>
        <w:bottom w:val="none" w:sz="0" w:space="0" w:color="auto"/>
        <w:right w:val="none" w:sz="0" w:space="0" w:color="auto"/>
      </w:divBdr>
      <w:divsChild>
        <w:div w:id="74405087">
          <w:marLeft w:val="-115"/>
          <w:marRight w:val="0"/>
          <w:marTop w:val="0"/>
          <w:marBottom w:val="0"/>
          <w:divBdr>
            <w:top w:val="none" w:sz="0" w:space="0" w:color="auto"/>
            <w:left w:val="none" w:sz="0" w:space="0" w:color="auto"/>
            <w:bottom w:val="none" w:sz="0" w:space="0" w:color="auto"/>
            <w:right w:val="none" w:sz="0" w:space="0" w:color="auto"/>
          </w:divBdr>
        </w:div>
        <w:div w:id="873889080">
          <w:marLeft w:val="-115"/>
          <w:marRight w:val="0"/>
          <w:marTop w:val="0"/>
          <w:marBottom w:val="0"/>
          <w:divBdr>
            <w:top w:val="none" w:sz="0" w:space="0" w:color="auto"/>
            <w:left w:val="none" w:sz="0" w:space="0" w:color="auto"/>
            <w:bottom w:val="none" w:sz="0" w:space="0" w:color="auto"/>
            <w:right w:val="none" w:sz="0" w:space="0" w:color="auto"/>
          </w:divBdr>
        </w:div>
      </w:divsChild>
    </w:div>
    <w:div w:id="2044936573">
      <w:bodyDiv w:val="1"/>
      <w:marLeft w:val="0"/>
      <w:marRight w:val="0"/>
      <w:marTop w:val="0"/>
      <w:marBottom w:val="0"/>
      <w:divBdr>
        <w:top w:val="none" w:sz="0" w:space="0" w:color="auto"/>
        <w:left w:val="none" w:sz="0" w:space="0" w:color="auto"/>
        <w:bottom w:val="none" w:sz="0" w:space="0" w:color="auto"/>
        <w:right w:val="none" w:sz="0" w:space="0" w:color="auto"/>
      </w:divBdr>
    </w:div>
    <w:div w:id="211539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pagasa.dost.gov.ph/index.php/tropical-cyclones/weather-bullet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Erwin Andrew I. Ontanillas</dc:creator>
  <cp:lastModifiedBy>Mariel B. Ferrariz</cp:lastModifiedBy>
  <cp:revision>2</cp:revision>
  <dcterms:created xsi:type="dcterms:W3CDTF">2018-09-10T09:59:00Z</dcterms:created>
  <dcterms:modified xsi:type="dcterms:W3CDTF">2018-09-10T09:59:00Z</dcterms:modified>
</cp:coreProperties>
</file>