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49DFA90A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>#</w:t>
      </w:r>
      <w:r w:rsidR="00BC57D4">
        <w:rPr>
          <w:rFonts w:ascii="Arial" w:eastAsia="Arial" w:hAnsi="Arial" w:cs="Arial"/>
          <w:b/>
          <w:sz w:val="32"/>
          <w:szCs w:val="24"/>
        </w:rPr>
        <w:t>2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7684D7E9" w:rsidR="001149A2" w:rsidRPr="008268F2" w:rsidRDefault="00AB032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r w:rsidR="00946100">
        <w:rPr>
          <w:rFonts w:ascii="Arial" w:eastAsia="Arial" w:hAnsi="Arial" w:cs="Arial"/>
          <w:b/>
          <w:sz w:val="32"/>
          <w:szCs w:val="24"/>
        </w:rPr>
        <w:t xml:space="preserve">Moonwalk, </w:t>
      </w:r>
      <w:proofErr w:type="spellStart"/>
      <w:r w:rsidR="00946100">
        <w:rPr>
          <w:rFonts w:ascii="Arial" w:eastAsia="Arial" w:hAnsi="Arial" w:cs="Arial"/>
          <w:b/>
          <w:sz w:val="32"/>
          <w:szCs w:val="24"/>
        </w:rPr>
        <w:t>Parañaque</w:t>
      </w:r>
      <w:proofErr w:type="spellEnd"/>
      <w:r w:rsidR="00946100">
        <w:rPr>
          <w:rFonts w:ascii="Arial" w:eastAsia="Arial" w:hAnsi="Arial" w:cs="Arial"/>
          <w:b/>
          <w:sz w:val="32"/>
          <w:szCs w:val="24"/>
        </w:rPr>
        <w:t xml:space="preserve"> City</w:t>
      </w:r>
      <w:bookmarkStart w:id="1" w:name="_GoBack"/>
      <w:bookmarkEnd w:id="1"/>
    </w:p>
    <w:p w14:paraId="1808A9E3" w14:textId="54D1CCF3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B0324">
        <w:rPr>
          <w:rFonts w:ascii="Arial" w:eastAsia="Arial" w:hAnsi="Arial" w:cs="Arial"/>
          <w:sz w:val="24"/>
          <w:szCs w:val="24"/>
        </w:rPr>
        <w:t>1</w:t>
      </w:r>
      <w:r w:rsidR="00946100">
        <w:rPr>
          <w:rFonts w:ascii="Arial" w:eastAsia="Arial" w:hAnsi="Arial" w:cs="Arial"/>
          <w:sz w:val="24"/>
          <w:szCs w:val="24"/>
        </w:rPr>
        <w:t>1</w:t>
      </w:r>
      <w:r w:rsidR="00BE6D8F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806F51">
        <w:rPr>
          <w:rFonts w:ascii="Arial" w:eastAsia="Arial" w:hAnsi="Arial" w:cs="Arial"/>
          <w:sz w:val="24"/>
          <w:szCs w:val="24"/>
        </w:rPr>
        <w:t>5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5097827" w:rsidR="001149A2" w:rsidRPr="008268F2" w:rsidRDefault="00E97EC4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C6154C">
        <w:rPr>
          <w:rFonts w:ascii="Arial" w:eastAsia="Arial" w:hAnsi="Arial" w:cs="Arial"/>
          <w:sz w:val="24"/>
          <w:szCs w:val="24"/>
        </w:rPr>
        <w:t>08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="00C6154C">
        <w:rPr>
          <w:rFonts w:ascii="Arial" w:eastAsia="Arial" w:hAnsi="Arial" w:cs="Arial"/>
          <w:sz w:val="24"/>
          <w:szCs w:val="24"/>
        </w:rPr>
        <w:t>January 2019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AB0324">
        <w:rPr>
          <w:rFonts w:ascii="Arial" w:eastAsia="Arial" w:hAnsi="Arial" w:cs="Arial"/>
          <w:sz w:val="24"/>
          <w:szCs w:val="24"/>
        </w:rPr>
        <w:t>2:</w:t>
      </w:r>
      <w:r w:rsidR="00946100">
        <w:rPr>
          <w:rFonts w:ascii="Arial" w:eastAsia="Arial" w:hAnsi="Arial" w:cs="Arial"/>
          <w:sz w:val="24"/>
          <w:szCs w:val="24"/>
        </w:rPr>
        <w:t>4</w:t>
      </w:r>
      <w:r w:rsidR="00AB0324">
        <w:rPr>
          <w:rFonts w:ascii="Arial" w:eastAsia="Arial" w:hAnsi="Arial" w:cs="Arial"/>
          <w:sz w:val="24"/>
          <w:szCs w:val="24"/>
        </w:rPr>
        <w:t xml:space="preserve">0 </w:t>
      </w:r>
      <w:r w:rsidR="00946100">
        <w:rPr>
          <w:rFonts w:ascii="Arial" w:eastAsia="Arial" w:hAnsi="Arial" w:cs="Arial"/>
          <w:sz w:val="24"/>
          <w:szCs w:val="24"/>
        </w:rPr>
        <w:t>PM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946100">
        <w:rPr>
          <w:rFonts w:ascii="Arial" w:eastAsia="Arial" w:hAnsi="Arial" w:cs="Arial"/>
          <w:sz w:val="24"/>
          <w:szCs w:val="24"/>
        </w:rPr>
        <w:t xml:space="preserve">the residential area of Multinational Village, </w:t>
      </w:r>
      <w:proofErr w:type="spellStart"/>
      <w:r w:rsidR="0094610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46100">
        <w:rPr>
          <w:rFonts w:ascii="Arial" w:eastAsia="Arial" w:hAnsi="Arial" w:cs="Arial"/>
          <w:sz w:val="24"/>
          <w:szCs w:val="24"/>
        </w:rPr>
        <w:t xml:space="preserve">. Moonwalk, </w:t>
      </w:r>
      <w:proofErr w:type="spellStart"/>
      <w:r w:rsidR="00946100">
        <w:rPr>
          <w:rFonts w:ascii="Arial" w:eastAsia="Arial" w:hAnsi="Arial" w:cs="Arial"/>
          <w:sz w:val="24"/>
          <w:szCs w:val="24"/>
        </w:rPr>
        <w:t>Parañaque</w:t>
      </w:r>
      <w:proofErr w:type="spellEnd"/>
      <w:r w:rsidR="00946100">
        <w:rPr>
          <w:rFonts w:ascii="Arial" w:eastAsia="Arial" w:hAnsi="Arial" w:cs="Arial"/>
          <w:sz w:val="24"/>
          <w:szCs w:val="24"/>
        </w:rPr>
        <w:t xml:space="preserve"> City</w:t>
      </w:r>
      <w:r w:rsidRPr="008268F2">
        <w:rPr>
          <w:rFonts w:ascii="Arial" w:eastAsia="Arial" w:hAnsi="Arial" w:cs="Arial"/>
          <w:sz w:val="24"/>
          <w:szCs w:val="24"/>
        </w:rPr>
        <w:t xml:space="preserve">. </w:t>
      </w:r>
      <w:r w:rsidR="00AB0324">
        <w:rPr>
          <w:rFonts w:ascii="Arial" w:eastAsia="Arial" w:hAnsi="Arial" w:cs="Arial"/>
          <w:sz w:val="24"/>
          <w:szCs w:val="24"/>
        </w:rPr>
        <w:t xml:space="preserve">It was around </w:t>
      </w:r>
      <w:r w:rsidR="00946100">
        <w:rPr>
          <w:rFonts w:ascii="Arial" w:eastAsia="Arial" w:hAnsi="Arial" w:cs="Arial"/>
          <w:sz w:val="24"/>
          <w:szCs w:val="24"/>
        </w:rPr>
        <w:t>4</w:t>
      </w:r>
      <w:r w:rsidR="00AB0324">
        <w:rPr>
          <w:rFonts w:ascii="Arial" w:eastAsia="Arial" w:hAnsi="Arial" w:cs="Arial"/>
          <w:sz w:val="24"/>
          <w:szCs w:val="24"/>
        </w:rPr>
        <w:t xml:space="preserve">:00 PM when the fire was declared out. </w:t>
      </w:r>
      <w:r w:rsidRPr="008268F2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24E9A331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4610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6"/>
        <w:gridCol w:w="2393"/>
        <w:gridCol w:w="1062"/>
        <w:gridCol w:w="1060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8268F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60113D1F" w:rsidR="009D7FD6" w:rsidRPr="008268F2" w:rsidRDefault="00AB0324" w:rsidP="001F55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F5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6AB46682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600</w:t>
            </w:r>
          </w:p>
        </w:tc>
      </w:tr>
      <w:tr w:rsidR="009D7FD6" w:rsidRPr="008268F2" w14:paraId="55E3D3A1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1F9338F3" w:rsidR="009D7FD6" w:rsidRPr="008268F2" w:rsidRDefault="00BC57D4" w:rsidP="00BC57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55BA4EA3" w:rsidR="009D7FD6" w:rsidRPr="008268F2" w:rsidRDefault="00C34723" w:rsidP="00AB03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F5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2BA8BFA8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600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74E58839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28DA4CE6" w:rsidR="009D7FD6" w:rsidRPr="008268F2" w:rsidRDefault="00DD408B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Parañaque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541C860D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1C8EAB04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600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1350B34" w14:textId="0ECD68A7" w:rsidR="00E97EC4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79349326" w14:textId="722B7599" w:rsidR="004F0708" w:rsidRPr="008268F2" w:rsidRDefault="004F0708" w:rsidP="004F0708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4F0708">
        <w:rPr>
          <w:rFonts w:ascii="Arial" w:hAnsi="Arial" w:cs="Arial"/>
          <w:bCs/>
          <w:i/>
          <w:sz w:val="16"/>
          <w:szCs w:val="24"/>
          <w:lang w:val="en-PH"/>
        </w:rPr>
        <w:t xml:space="preserve">The </w:t>
      </w:r>
      <w:r w:rsidRPr="004F0708">
        <w:rPr>
          <w:rFonts w:ascii="Arial" w:hAnsi="Arial" w:cs="Arial"/>
          <w:bCs/>
          <w:i/>
          <w:sz w:val="16"/>
          <w:szCs w:val="24"/>
          <w:lang w:val="en-PH"/>
        </w:rPr>
        <w:t xml:space="preserve">covered court </w:t>
      </w:r>
      <w:r w:rsidRPr="004F0708">
        <w:rPr>
          <w:rFonts w:ascii="Arial" w:hAnsi="Arial" w:cs="Arial"/>
          <w:bCs/>
          <w:i/>
          <w:sz w:val="16"/>
          <w:szCs w:val="24"/>
          <w:lang w:val="en-PH"/>
        </w:rPr>
        <w:t xml:space="preserve">of San Augustine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in </w:t>
      </w:r>
      <w:proofErr w:type="spellStart"/>
      <w:r w:rsidRPr="004F0708">
        <w:rPr>
          <w:rFonts w:ascii="Arial" w:hAnsi="Arial" w:cs="Arial"/>
          <w:bCs/>
          <w:i/>
          <w:sz w:val="16"/>
          <w:szCs w:val="24"/>
          <w:lang w:val="en-PH"/>
        </w:rPr>
        <w:t>Brgy</w:t>
      </w:r>
      <w:proofErr w:type="spellEnd"/>
      <w:r w:rsidRPr="004F0708">
        <w:rPr>
          <w:rFonts w:ascii="Arial" w:hAnsi="Arial" w:cs="Arial"/>
          <w:bCs/>
          <w:i/>
          <w:sz w:val="16"/>
          <w:szCs w:val="24"/>
          <w:lang w:val="en-PH"/>
        </w:rPr>
        <w:t>. Moo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nwalk, </w:t>
      </w:r>
      <w:proofErr w:type="spellStart"/>
      <w:r>
        <w:rPr>
          <w:rFonts w:ascii="Arial" w:hAnsi="Arial" w:cs="Arial"/>
          <w:bCs/>
          <w:i/>
          <w:sz w:val="16"/>
          <w:szCs w:val="24"/>
          <w:lang w:val="en-PH"/>
        </w:rPr>
        <w:t>Parañaque</w:t>
      </w:r>
      <w:proofErr w:type="spellEnd"/>
      <w:r>
        <w:rPr>
          <w:rFonts w:ascii="Arial" w:hAnsi="Arial" w:cs="Arial"/>
          <w:bCs/>
          <w:i/>
          <w:sz w:val="16"/>
          <w:szCs w:val="24"/>
          <w:lang w:val="en-PH"/>
        </w:rPr>
        <w:t xml:space="preserve"> City serves as </w:t>
      </w:r>
      <w:r w:rsidRPr="004F0708">
        <w:rPr>
          <w:rFonts w:ascii="Arial" w:hAnsi="Arial" w:cs="Arial"/>
          <w:bCs/>
          <w:i/>
          <w:sz w:val="16"/>
          <w:szCs w:val="24"/>
          <w:lang w:val="en-PH"/>
        </w:rPr>
        <w:t>the evacuation center (EC) for the affected families. CSWDO has no information yet as to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4F0708">
        <w:rPr>
          <w:rFonts w:ascii="Arial" w:hAnsi="Arial" w:cs="Arial"/>
          <w:bCs/>
          <w:i/>
          <w:sz w:val="16"/>
          <w:szCs w:val="24"/>
          <w:lang w:val="en-PH"/>
        </w:rPr>
        <w:t xml:space="preserve">how many IDPs are staying inside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the EC </w:t>
      </w:r>
      <w:r w:rsidRPr="004F0708">
        <w:rPr>
          <w:rFonts w:ascii="Arial" w:hAnsi="Arial" w:cs="Arial"/>
          <w:bCs/>
          <w:i/>
          <w:sz w:val="16"/>
          <w:szCs w:val="24"/>
          <w:lang w:val="en-PH"/>
        </w:rPr>
        <w:t>as the affected families are staying in and out of the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4F0708">
        <w:rPr>
          <w:rFonts w:ascii="Arial" w:hAnsi="Arial" w:cs="Arial"/>
          <w:bCs/>
          <w:i/>
          <w:sz w:val="16"/>
          <w:szCs w:val="24"/>
          <w:lang w:val="en-PH"/>
        </w:rPr>
        <w:t>EC.</w:t>
      </w:r>
    </w:p>
    <w:p w14:paraId="781989EB" w14:textId="7139E02E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D408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958E7F" w14:textId="0DD3454B" w:rsidR="00E97EC4" w:rsidRPr="008268F2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040"/>
        <w:gridCol w:w="1642"/>
        <w:gridCol w:w="1190"/>
        <w:gridCol w:w="1324"/>
      </w:tblGrid>
      <w:tr w:rsidR="00E97EC4" w:rsidRPr="008268F2" w14:paraId="4B0342DC" w14:textId="77777777" w:rsidTr="00E97EC4">
        <w:trPr>
          <w:trHeight w:val="66"/>
        </w:trPr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8268F2" w14:paraId="10F72108" w14:textId="77777777" w:rsidTr="00E97EC4">
        <w:trPr>
          <w:trHeight w:val="20"/>
        </w:trPr>
        <w:tc>
          <w:tcPr>
            <w:tcW w:w="2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8268F2" w14:paraId="38DEE478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0C43A5EE" w:rsidR="00E97EC4" w:rsidRPr="008268F2" w:rsidRDefault="00C34723" w:rsidP="001F55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1F5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28422A8C" w:rsidR="00E97EC4" w:rsidRPr="008268F2" w:rsidRDefault="00C34723" w:rsidP="00C347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50AA74A8" w:rsidR="00E97EC4" w:rsidRPr="008268F2" w:rsidRDefault="004F070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B81D7E" w:rsidRPr="008268F2" w14:paraId="10BF62C3" w14:textId="77777777" w:rsidTr="00B81D7E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EF9773" w14:textId="78616BF5" w:rsidR="00B81D7E" w:rsidRPr="008268F2" w:rsidRDefault="00DD408B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0E5BB7D2" w:rsidR="00B81D7E" w:rsidRPr="008268F2" w:rsidRDefault="001F55A8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40</w:t>
            </w:r>
            <w:r w:rsidR="00B81D7E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33F4E380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6C61F13F" w:rsidR="00B81D7E" w:rsidRPr="008268F2" w:rsidRDefault="004F0708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B81D7E" w:rsidRPr="008268F2" w14:paraId="58B345C6" w14:textId="77777777" w:rsidTr="00B81D7E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9B39" w14:textId="38343A71" w:rsidR="00B81D7E" w:rsidRPr="008268F2" w:rsidRDefault="00DD408B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Parañaque</w:t>
            </w:r>
            <w:proofErr w:type="spellEnd"/>
            <w:r w:rsidR="00B81D7E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6DB8B511" w:rsidR="00B81D7E" w:rsidRPr="008268F2" w:rsidRDefault="00B81D7E" w:rsidP="001F55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4</w:t>
            </w:r>
            <w:r w:rsidR="001F55A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0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2FF627F9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40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2E75923E" w:rsidR="00B81D7E" w:rsidRPr="008268F2" w:rsidRDefault="004F0708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385EC8" w14:textId="62A1EF98" w:rsidR="008268F2" w:rsidRPr="008268F2" w:rsidRDefault="008268F2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69FACD88" w14:textId="2C1F955E" w:rsidR="00A820CC" w:rsidRPr="008268F2" w:rsidRDefault="00B81D7E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D408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798E76A" w14:textId="6B3E0AB2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2D49FF" w14:textId="77777777" w:rsidR="004806D3" w:rsidRDefault="004806D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FA75CB" w14:textId="77777777" w:rsidR="00C46332" w:rsidRDefault="00C46332" w:rsidP="00C463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1989"/>
        <w:gridCol w:w="1704"/>
        <w:gridCol w:w="983"/>
        <w:gridCol w:w="1205"/>
        <w:gridCol w:w="1616"/>
        <w:gridCol w:w="1704"/>
      </w:tblGrid>
      <w:tr w:rsidR="00C46332" w:rsidRPr="00C42B34" w14:paraId="3F7E69D6" w14:textId="77777777" w:rsidTr="00C11580">
        <w:trPr>
          <w:trHeight w:val="20"/>
        </w:trPr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85C9E2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9EB47A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46332" w:rsidRPr="00C42B34" w14:paraId="71B35834" w14:textId="77777777" w:rsidTr="00C11580">
        <w:trPr>
          <w:trHeight w:val="20"/>
        </w:trPr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1573" w14:textId="77777777" w:rsidR="00C46332" w:rsidRPr="00C42B34" w:rsidRDefault="00C46332" w:rsidP="00C1158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D6CD65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9275D5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F3390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29E438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250811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46332" w:rsidRPr="00C42B34" w14:paraId="19D93317" w14:textId="77777777" w:rsidTr="00C11580">
        <w:trPr>
          <w:trHeight w:val="20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4BAF8A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9A034B" w14:textId="6B48EEB8" w:rsidR="00C46332" w:rsidRPr="00C42B34" w:rsidRDefault="00C46332" w:rsidP="004806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80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22,221.6</w:t>
            </w: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D3CFE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9D9EE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4A4A63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4AA62" w14:textId="769D678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4806D3" w:rsidRPr="00480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22,221.60</w:t>
            </w:r>
          </w:p>
        </w:tc>
      </w:tr>
      <w:tr w:rsidR="00C46332" w:rsidRPr="00C42B34" w14:paraId="0DA7949E" w14:textId="77777777" w:rsidTr="00C11580">
        <w:trPr>
          <w:trHeight w:val="2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C89C9C1" w14:textId="77777777" w:rsidR="00C46332" w:rsidRPr="00C42B34" w:rsidRDefault="00C46332" w:rsidP="00C1158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DC722" w14:textId="5F2F2EDD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806D3" w:rsidRPr="00480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22,221.60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D2AE8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83F206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8D806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44428" w14:textId="70B93D7D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4806D3" w:rsidRPr="00480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22,221.60</w:t>
            </w:r>
          </w:p>
        </w:tc>
      </w:tr>
      <w:tr w:rsidR="00C46332" w:rsidRPr="00C42B34" w14:paraId="5ADD271C" w14:textId="77777777" w:rsidTr="00C11580">
        <w:trPr>
          <w:trHeight w:val="20"/>
        </w:trPr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1BF4" w14:textId="7C3685D0" w:rsidR="00C46332" w:rsidRPr="00C42B34" w:rsidRDefault="00C46332" w:rsidP="00C1158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Parañaque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6670" w14:textId="35C54D4E" w:rsidR="00C46332" w:rsidRPr="00C42B34" w:rsidRDefault="004806D3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806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22,221.60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A7D7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8BB8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-  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D68E" w14:textId="77777777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CEB8" w14:textId="60BDE454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4806D3" w:rsidRPr="004806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22,221.60</w:t>
            </w:r>
          </w:p>
        </w:tc>
      </w:tr>
    </w:tbl>
    <w:p w14:paraId="713234D6" w14:textId="77A57986" w:rsidR="00C46332" w:rsidRPr="002D6344" w:rsidRDefault="00C46332" w:rsidP="00C4633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2E21E383" w14:textId="77777777" w:rsidR="00C46332" w:rsidRPr="002D6344" w:rsidRDefault="00C46332" w:rsidP="00C4633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027BD4B5" w14:textId="5638EEE1" w:rsidR="00B302C8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31076D" w14:textId="77777777" w:rsidR="00C46332" w:rsidRDefault="00C4633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268F2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268F2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31D6302" w:rsidR="00985089" w:rsidRPr="00DD408B" w:rsidRDefault="00B81D7E" w:rsidP="00DD40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D408B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DD408B" w:rsidRPr="00DD408B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C34723" w:rsidRPr="00DD408B">
              <w:rPr>
                <w:rFonts w:ascii="Arial" w:eastAsia="Arial" w:hAnsi="Arial" w:cs="Arial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DD408B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DD408B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Pr="00DD408B">
              <w:rPr>
                <w:rFonts w:ascii="Arial" w:eastAsia="Arial" w:hAnsi="Arial" w:cs="Arial"/>
                <w:sz w:val="20"/>
                <w:szCs w:val="24"/>
              </w:rPr>
              <w:lastRenderedPageBreak/>
              <w:t>NCR for significant reports on the status of affected families, assistance, and relief efforts.</w:t>
            </w:r>
          </w:p>
        </w:tc>
      </w:tr>
    </w:tbl>
    <w:p w14:paraId="3839EB45" w14:textId="7EBCD6A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DD408B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DE02B8" w:rsidR="001149A2" w:rsidRPr="00000EC4" w:rsidRDefault="00000EC4" w:rsidP="00000EC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11 </w:t>
            </w:r>
            <w:r w:rsidR="00B81D7E" w:rsidRPr="00000EC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A48F37" w14:textId="77777777" w:rsidR="00000EC4" w:rsidRDefault="004806D3" w:rsidP="00000EC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Barangay Officials immediately assisted the affected families</w:t>
            </w:r>
            <w:r w:rsidR="00905A90">
              <w:rPr>
                <w:rFonts w:ascii="Arial" w:eastAsia="Arial" w:hAnsi="Arial" w:cs="Arial"/>
                <w:color w:val="0070C0"/>
                <w:sz w:val="20"/>
                <w:szCs w:val="20"/>
              </w:rPr>
              <w:t>. Barangay leaders also secured the place to maintain peace and order in the area. They are also helping in the utilization of Disaster Assistance Family Access Card (DAFAC).</w:t>
            </w:r>
          </w:p>
          <w:p w14:paraId="14DF8447" w14:textId="40EB66C3" w:rsidR="00905A90" w:rsidRPr="00000EC4" w:rsidRDefault="00905A90" w:rsidP="00000EC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proofErr w:type="spellStart"/>
            <w:r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>Parañaque</w:t>
            </w:r>
            <w:proofErr w:type="spellEnd"/>
            <w:r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City Social Welfare and Development Office</w:t>
            </w:r>
            <w:r w:rsidR="00000EC4"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>leads in Camp Coordination and Camp Management.</w:t>
            </w:r>
            <w:r w:rsidR="00000EC4"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They are </w:t>
            </w:r>
            <w:r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continuously coordinating with concerned agencies and conducting assessment and validation of the affected families using the </w:t>
            </w:r>
            <w:r w:rsidR="00000EC4"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DAFAC. Hot </w:t>
            </w:r>
            <w:r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meals </w:t>
            </w:r>
            <w:r w:rsid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relief items were provided by </w:t>
            </w:r>
            <w:r w:rsidRP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>the affected families.</w:t>
            </w:r>
          </w:p>
          <w:p w14:paraId="5A9B73D9" w14:textId="50995B48" w:rsidR="00905A90" w:rsidRDefault="00000EC4" w:rsidP="00C3472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="00905A90">
              <w:rPr>
                <w:rFonts w:ascii="Arial" w:eastAsia="Arial" w:hAnsi="Arial" w:cs="Arial"/>
                <w:color w:val="0070C0"/>
                <w:sz w:val="20"/>
                <w:szCs w:val="20"/>
              </w:rPr>
              <w:t>City Health Office continuously provides free medical check-up.</w:t>
            </w:r>
          </w:p>
          <w:p w14:paraId="4572FDA1" w14:textId="58FB6A25" w:rsidR="00905A90" w:rsidRDefault="00905A90" w:rsidP="0063701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Barangay Health Workers and Day Care Workers assist in </w:t>
            </w:r>
            <w:r w:rsidR="00000EC4">
              <w:rPr>
                <w:rFonts w:ascii="Arial" w:eastAsia="Arial" w:hAnsi="Arial" w:cs="Arial"/>
                <w:color w:val="0070C0"/>
                <w:sz w:val="20"/>
                <w:szCs w:val="20"/>
              </w:rPr>
              <w:t>camp coordination and camp management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4675AAB8" w14:textId="77777777" w:rsidR="00BB59A3" w:rsidRDefault="0063701B" w:rsidP="00000EC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Other private individuals and groups also provided relief </w:t>
            </w:r>
            <w:r w:rsidR="00BB59A3">
              <w:rPr>
                <w:rFonts w:ascii="Arial" w:eastAsia="Arial" w:hAnsi="Arial" w:cs="Arial"/>
                <w:color w:val="0070C0"/>
                <w:sz w:val="20"/>
                <w:szCs w:val="20"/>
              </w:rPr>
              <w:t>items to the affected families.</w:t>
            </w:r>
          </w:p>
          <w:p w14:paraId="1061E0DF" w14:textId="562A6A4D" w:rsidR="00000EC4" w:rsidRPr="00000EC4" w:rsidRDefault="00000EC4" w:rsidP="00000EC4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NCR provided family food packs and bottled water to the affected families through the request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Parañaque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CSWDO.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42D1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6"/>
          <w:szCs w:val="24"/>
        </w:rPr>
      </w:pPr>
      <w:r w:rsidRPr="001E42D1">
        <w:rPr>
          <w:rFonts w:ascii="Arial" w:eastAsia="Arial" w:hAnsi="Arial" w:cs="Arial"/>
          <w:i/>
          <w:sz w:val="16"/>
          <w:szCs w:val="24"/>
        </w:rPr>
        <w:t>*****</w:t>
      </w:r>
    </w:p>
    <w:p w14:paraId="0816537C" w14:textId="2B86BDB2" w:rsidR="00B75DA9" w:rsidRPr="001E42D1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16"/>
          <w:szCs w:val="24"/>
        </w:rPr>
      </w:pPr>
      <w:r w:rsidRPr="001E42D1">
        <w:rPr>
          <w:rFonts w:ascii="Arial" w:eastAsia="Arial" w:hAnsi="Arial" w:cs="Arial"/>
          <w:i/>
          <w:color w:val="263238"/>
          <w:sz w:val="16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D408B" w:rsidRPr="001E42D1">
        <w:rPr>
          <w:rFonts w:ascii="Arial" w:eastAsia="Arial" w:hAnsi="Arial" w:cs="Arial"/>
          <w:i/>
          <w:color w:val="263238"/>
          <w:sz w:val="16"/>
          <w:szCs w:val="24"/>
        </w:rPr>
        <w:t>NCR</w:t>
      </w:r>
      <w:r w:rsidR="00050766" w:rsidRPr="001E42D1">
        <w:rPr>
          <w:rFonts w:ascii="Arial" w:eastAsia="Arial" w:hAnsi="Arial" w:cs="Arial"/>
          <w:i/>
          <w:color w:val="263238"/>
          <w:sz w:val="16"/>
          <w:szCs w:val="24"/>
        </w:rPr>
        <w:t xml:space="preserve"> </w:t>
      </w:r>
      <w:r w:rsidRPr="001E42D1">
        <w:rPr>
          <w:rFonts w:ascii="Arial" w:eastAsia="Arial" w:hAnsi="Arial" w:cs="Arial"/>
          <w:i/>
          <w:color w:val="263238"/>
          <w:sz w:val="16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4D00BA6" w:rsidR="00C9090C" w:rsidRPr="008268F2" w:rsidRDefault="00C34723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9BF5" w14:textId="77777777" w:rsidR="004139E4" w:rsidRDefault="004139E4">
      <w:pPr>
        <w:spacing w:after="0" w:line="240" w:lineRule="auto"/>
      </w:pPr>
      <w:r>
        <w:separator/>
      </w:r>
    </w:p>
  </w:endnote>
  <w:endnote w:type="continuationSeparator" w:id="0">
    <w:p w14:paraId="3623D1AA" w14:textId="77777777" w:rsidR="004139E4" w:rsidRDefault="0041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E65D2C6" w:rsidR="001149A2" w:rsidRPr="00BC57D4" w:rsidRDefault="0082655B" w:rsidP="00BC57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06F5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06F5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DC650E">
      <w:rPr>
        <w:rFonts w:ascii="Arial" w:eastAsia="Arial" w:hAnsi="Arial" w:cs="Arial"/>
        <w:sz w:val="14"/>
        <w:szCs w:val="14"/>
      </w:rPr>
      <w:t>2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C57D4" w:rsidRPr="00BC57D4">
      <w:rPr>
        <w:rFonts w:ascii="Arial" w:eastAsia="Arial" w:hAnsi="Arial" w:cs="Arial"/>
        <w:sz w:val="14"/>
        <w:szCs w:val="14"/>
      </w:rPr>
      <w:t>Brgy</w:t>
    </w:r>
    <w:proofErr w:type="spellEnd"/>
    <w:r w:rsidR="00BC57D4" w:rsidRPr="00BC57D4">
      <w:rPr>
        <w:rFonts w:ascii="Arial" w:eastAsia="Arial" w:hAnsi="Arial" w:cs="Arial"/>
        <w:sz w:val="14"/>
        <w:szCs w:val="14"/>
      </w:rPr>
      <w:t xml:space="preserve">. Moonwalk, </w:t>
    </w:r>
    <w:proofErr w:type="spellStart"/>
    <w:r w:rsidR="00BC57D4" w:rsidRPr="00BC57D4">
      <w:rPr>
        <w:rFonts w:ascii="Arial" w:eastAsia="Arial" w:hAnsi="Arial" w:cs="Arial"/>
        <w:sz w:val="14"/>
        <w:szCs w:val="14"/>
      </w:rPr>
      <w:t>Parañaque</w:t>
    </w:r>
    <w:proofErr w:type="spellEnd"/>
    <w:r w:rsidR="00BC57D4" w:rsidRPr="00BC57D4">
      <w:rPr>
        <w:rFonts w:ascii="Arial" w:eastAsia="Arial" w:hAnsi="Arial" w:cs="Arial"/>
        <w:sz w:val="14"/>
        <w:szCs w:val="14"/>
      </w:rPr>
      <w:t xml:space="preserve"> City</w:t>
    </w:r>
    <w:r w:rsidR="00BC57D4">
      <w:rPr>
        <w:rFonts w:ascii="Arial" w:eastAsia="Arial" w:hAnsi="Arial" w:cs="Arial"/>
        <w:sz w:val="14"/>
        <w:szCs w:val="14"/>
      </w:rPr>
      <w:t xml:space="preserve"> </w:t>
    </w:r>
    <w:r w:rsidR="00BC57D4" w:rsidRPr="00BC57D4">
      <w:rPr>
        <w:rFonts w:ascii="Arial" w:eastAsia="Arial" w:hAnsi="Arial" w:cs="Arial"/>
        <w:sz w:val="14"/>
        <w:szCs w:val="14"/>
      </w:rPr>
      <w:t xml:space="preserve">as of 11 January 2019, </w:t>
    </w:r>
    <w:r w:rsidR="00806F51">
      <w:rPr>
        <w:rFonts w:ascii="Arial" w:eastAsia="Arial" w:hAnsi="Arial" w:cs="Arial"/>
        <w:sz w:val="14"/>
        <w:szCs w:val="14"/>
      </w:rPr>
      <w:t>5</w:t>
    </w:r>
    <w:r w:rsidR="00BC57D4" w:rsidRPr="00BC57D4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D3BB" w14:textId="77777777" w:rsidR="004139E4" w:rsidRDefault="004139E4">
      <w:pPr>
        <w:spacing w:after="0" w:line="240" w:lineRule="auto"/>
      </w:pPr>
      <w:r>
        <w:separator/>
      </w:r>
    </w:p>
  </w:footnote>
  <w:footnote w:type="continuationSeparator" w:id="0">
    <w:p w14:paraId="4B789F97" w14:textId="77777777" w:rsidR="004139E4" w:rsidRDefault="0041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614"/>
    <w:multiLevelType w:val="hybridMultilevel"/>
    <w:tmpl w:val="84343410"/>
    <w:lvl w:ilvl="0" w:tplc="3409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8656C8"/>
    <w:multiLevelType w:val="hybridMultilevel"/>
    <w:tmpl w:val="95B499C6"/>
    <w:lvl w:ilvl="0" w:tplc="81B47FC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EC4"/>
    <w:rsid w:val="00001EC7"/>
    <w:rsid w:val="00006D6A"/>
    <w:rsid w:val="000101D0"/>
    <w:rsid w:val="00042FEB"/>
    <w:rsid w:val="00046FA7"/>
    <w:rsid w:val="00050766"/>
    <w:rsid w:val="00064AE3"/>
    <w:rsid w:val="00083789"/>
    <w:rsid w:val="00096310"/>
    <w:rsid w:val="000E38E9"/>
    <w:rsid w:val="000F4719"/>
    <w:rsid w:val="00103995"/>
    <w:rsid w:val="001149A2"/>
    <w:rsid w:val="00115767"/>
    <w:rsid w:val="00135103"/>
    <w:rsid w:val="001847A6"/>
    <w:rsid w:val="00186433"/>
    <w:rsid w:val="001B2088"/>
    <w:rsid w:val="001B6619"/>
    <w:rsid w:val="001B76F6"/>
    <w:rsid w:val="001E0735"/>
    <w:rsid w:val="001E42D1"/>
    <w:rsid w:val="001E5944"/>
    <w:rsid w:val="001F0486"/>
    <w:rsid w:val="001F55A8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44C9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39E4"/>
    <w:rsid w:val="00415BD0"/>
    <w:rsid w:val="00416CD0"/>
    <w:rsid w:val="00422596"/>
    <w:rsid w:val="00422948"/>
    <w:rsid w:val="004347A5"/>
    <w:rsid w:val="004664E2"/>
    <w:rsid w:val="00480481"/>
    <w:rsid w:val="004806D3"/>
    <w:rsid w:val="004A4E86"/>
    <w:rsid w:val="004B6643"/>
    <w:rsid w:val="004C3428"/>
    <w:rsid w:val="004C4558"/>
    <w:rsid w:val="004F0708"/>
    <w:rsid w:val="0058197B"/>
    <w:rsid w:val="005838F4"/>
    <w:rsid w:val="00590B6B"/>
    <w:rsid w:val="005B7B3E"/>
    <w:rsid w:val="0061793C"/>
    <w:rsid w:val="0063701B"/>
    <w:rsid w:val="00651F59"/>
    <w:rsid w:val="00672917"/>
    <w:rsid w:val="0069788A"/>
    <w:rsid w:val="006A6903"/>
    <w:rsid w:val="006C466D"/>
    <w:rsid w:val="006C7E5F"/>
    <w:rsid w:val="006D2544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06F51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05A90"/>
    <w:rsid w:val="009112F7"/>
    <w:rsid w:val="0091510D"/>
    <w:rsid w:val="00927484"/>
    <w:rsid w:val="009279A3"/>
    <w:rsid w:val="00946100"/>
    <w:rsid w:val="00970CF8"/>
    <w:rsid w:val="009731CF"/>
    <w:rsid w:val="009808ED"/>
    <w:rsid w:val="00982647"/>
    <w:rsid w:val="00985089"/>
    <w:rsid w:val="009A7847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56338"/>
    <w:rsid w:val="00B62851"/>
    <w:rsid w:val="00B75DA9"/>
    <w:rsid w:val="00B81D7E"/>
    <w:rsid w:val="00B865A2"/>
    <w:rsid w:val="00B86763"/>
    <w:rsid w:val="00BB2F4A"/>
    <w:rsid w:val="00BB59A3"/>
    <w:rsid w:val="00BB73AD"/>
    <w:rsid w:val="00BC483F"/>
    <w:rsid w:val="00BC57D4"/>
    <w:rsid w:val="00BC57D7"/>
    <w:rsid w:val="00BE6D8F"/>
    <w:rsid w:val="00BE6FC4"/>
    <w:rsid w:val="00C018FB"/>
    <w:rsid w:val="00C039EE"/>
    <w:rsid w:val="00C16E9F"/>
    <w:rsid w:val="00C34723"/>
    <w:rsid w:val="00C46332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80400"/>
    <w:rsid w:val="00DB4B44"/>
    <w:rsid w:val="00DC175D"/>
    <w:rsid w:val="00DC2272"/>
    <w:rsid w:val="00DC4256"/>
    <w:rsid w:val="00DC650E"/>
    <w:rsid w:val="00DC7C16"/>
    <w:rsid w:val="00DD070D"/>
    <w:rsid w:val="00DD3DDF"/>
    <w:rsid w:val="00DD408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14</cp:revision>
  <dcterms:created xsi:type="dcterms:W3CDTF">2019-01-11T04:37:00Z</dcterms:created>
  <dcterms:modified xsi:type="dcterms:W3CDTF">2019-01-11T09:05:00Z</dcterms:modified>
</cp:coreProperties>
</file>