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23964CD2" w14:textId="200AF40B" w:rsidR="00BA143A" w:rsidRDefault="00383D41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 Santo Domingo, Cainta, Rizal</w:t>
      </w:r>
    </w:p>
    <w:p w14:paraId="1808A9E3" w14:textId="27E70BAC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383D41">
        <w:rPr>
          <w:rFonts w:ascii="Arial" w:eastAsia="Arial" w:hAnsi="Arial" w:cs="Arial"/>
          <w:sz w:val="24"/>
          <w:szCs w:val="24"/>
        </w:rPr>
        <w:t>04 February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383D41">
        <w:rPr>
          <w:rFonts w:ascii="Arial" w:eastAsia="Arial" w:hAnsi="Arial" w:cs="Arial"/>
          <w:sz w:val="24"/>
          <w:szCs w:val="24"/>
        </w:rPr>
        <w:t>7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F17BBF0" w14:textId="4BE6E777" w:rsidR="0061793C" w:rsidRPr="001574F4" w:rsidRDefault="00E97EC4" w:rsidP="001574F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160D00">
        <w:rPr>
          <w:rFonts w:ascii="Arial" w:eastAsia="Arial" w:hAnsi="Arial" w:cs="Arial"/>
          <w:sz w:val="24"/>
          <w:szCs w:val="24"/>
        </w:rPr>
        <w:t xml:space="preserve">03 February </w:t>
      </w:r>
      <w:r w:rsidR="001574F4" w:rsidRPr="001574F4">
        <w:rPr>
          <w:rFonts w:ascii="Arial" w:eastAsia="Arial" w:hAnsi="Arial" w:cs="Arial"/>
          <w:sz w:val="24"/>
          <w:szCs w:val="24"/>
        </w:rPr>
        <w:t>2019, a fire incident o</w:t>
      </w:r>
      <w:r w:rsidR="0038336B">
        <w:rPr>
          <w:rFonts w:ascii="Arial" w:eastAsia="Arial" w:hAnsi="Arial" w:cs="Arial"/>
          <w:sz w:val="24"/>
          <w:szCs w:val="24"/>
        </w:rPr>
        <w:t xml:space="preserve">ccurred in a residential area in </w:t>
      </w:r>
      <w:r w:rsidR="00160D00">
        <w:rPr>
          <w:rFonts w:ascii="Arial" w:eastAsia="Arial" w:hAnsi="Arial" w:cs="Arial"/>
          <w:sz w:val="24"/>
          <w:szCs w:val="24"/>
        </w:rPr>
        <w:t>Brgy. Santo Domingo, Cainta, Rizal</w:t>
      </w:r>
      <w:r w:rsidR="001574F4">
        <w:rPr>
          <w:rFonts w:ascii="Arial" w:eastAsia="Arial" w:hAnsi="Arial" w:cs="Arial"/>
          <w:sz w:val="24"/>
          <w:szCs w:val="24"/>
        </w:rPr>
        <w:t xml:space="preserve">. </w:t>
      </w:r>
      <w:r w:rsidR="00AE6021">
        <w:rPr>
          <w:rFonts w:ascii="Arial" w:eastAsia="Arial" w:hAnsi="Arial" w:cs="Arial"/>
          <w:sz w:val="24"/>
          <w:szCs w:val="24"/>
        </w:rPr>
        <w:t>Th</w:t>
      </w:r>
      <w:r w:rsidR="0038336B">
        <w:rPr>
          <w:rFonts w:ascii="Arial" w:eastAsia="Arial" w:hAnsi="Arial" w:cs="Arial"/>
          <w:sz w:val="24"/>
          <w:szCs w:val="24"/>
        </w:rPr>
        <w:t xml:space="preserve">e fire started at around </w:t>
      </w:r>
      <w:r w:rsidR="00160D00">
        <w:rPr>
          <w:rFonts w:ascii="Arial" w:eastAsia="Arial" w:hAnsi="Arial" w:cs="Arial"/>
          <w:sz w:val="24"/>
          <w:szCs w:val="24"/>
        </w:rPr>
        <w:t>5:22 P</w:t>
      </w:r>
      <w:r w:rsidR="00AE6021">
        <w:rPr>
          <w:rFonts w:ascii="Arial" w:eastAsia="Arial" w:hAnsi="Arial" w:cs="Arial"/>
          <w:sz w:val="24"/>
          <w:szCs w:val="24"/>
        </w:rPr>
        <w:t>M and was</w:t>
      </w:r>
      <w:r w:rsidR="0038336B">
        <w:rPr>
          <w:rFonts w:ascii="Arial" w:eastAsia="Arial" w:hAnsi="Arial" w:cs="Arial"/>
          <w:sz w:val="24"/>
          <w:szCs w:val="24"/>
        </w:rPr>
        <w:t xml:space="preserve"> declared under control at </w:t>
      </w:r>
      <w:r w:rsidR="00160D00">
        <w:rPr>
          <w:rFonts w:ascii="Arial" w:eastAsia="Arial" w:hAnsi="Arial" w:cs="Arial"/>
          <w:sz w:val="24"/>
          <w:szCs w:val="24"/>
        </w:rPr>
        <w:t>9:00 P</w:t>
      </w:r>
      <w:r w:rsidR="00AE6021">
        <w:rPr>
          <w:rFonts w:ascii="Arial" w:eastAsia="Arial" w:hAnsi="Arial" w:cs="Arial"/>
          <w:sz w:val="24"/>
          <w:szCs w:val="24"/>
        </w:rPr>
        <w:t>M.</w:t>
      </w:r>
      <w:r w:rsidR="001574F4">
        <w:rPr>
          <w:rFonts w:ascii="Arial" w:eastAsia="Arial" w:hAnsi="Arial" w:cs="Arial"/>
          <w:sz w:val="24"/>
          <w:szCs w:val="24"/>
        </w:rPr>
        <w:t xml:space="preserve"> </w:t>
      </w:r>
      <w:r w:rsidR="0038336B">
        <w:rPr>
          <w:rFonts w:ascii="Arial" w:eastAsia="Arial" w:hAnsi="Arial" w:cs="Arial"/>
          <w:sz w:val="24"/>
          <w:szCs w:val="24"/>
        </w:rPr>
        <w:t xml:space="preserve">There </w:t>
      </w:r>
      <w:r w:rsidR="00160D00">
        <w:rPr>
          <w:rFonts w:ascii="Arial" w:eastAsia="Arial" w:hAnsi="Arial" w:cs="Arial"/>
          <w:sz w:val="24"/>
          <w:szCs w:val="24"/>
        </w:rPr>
        <w:t>were two (2</w:t>
      </w:r>
      <w:r w:rsidR="0038336B">
        <w:rPr>
          <w:rFonts w:ascii="Arial" w:eastAsia="Arial" w:hAnsi="Arial" w:cs="Arial"/>
          <w:sz w:val="24"/>
          <w:szCs w:val="24"/>
        </w:rPr>
        <w:t>) reported casualty</w:t>
      </w:r>
      <w:r w:rsidR="00AE6021">
        <w:rPr>
          <w:rFonts w:ascii="Arial" w:eastAsia="Arial" w:hAnsi="Arial" w:cs="Arial"/>
          <w:sz w:val="24"/>
          <w:szCs w:val="24"/>
        </w:rPr>
        <w:t xml:space="preserve"> and the cause of fire is still under investigation.</w:t>
      </w:r>
    </w:p>
    <w:p w14:paraId="0899B43E" w14:textId="69455C40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D7E7E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2CC259FA" w:rsidR="001149A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70298D9" w14:textId="4AF882B3" w:rsidR="00415B84" w:rsidRPr="00B174F5" w:rsidRDefault="00415B84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ABAE751" w14:textId="537EB050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801 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4,005 persons</w:t>
      </w:r>
      <w:r>
        <w:rPr>
          <w:rFonts w:ascii="Arial" w:eastAsia="Arial" w:hAnsi="Arial" w:cs="Arial"/>
          <w:sz w:val="24"/>
          <w:szCs w:val="24"/>
        </w:rPr>
        <w:t xml:space="preserve"> were affected by the fire incidents in Brgy. Santo Domingo, Cainta, Rizal. (see Table 1)</w:t>
      </w:r>
    </w:p>
    <w:p w14:paraId="3BA57968" w14:textId="3F0D0F35"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54167462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731" w:type="pct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1428"/>
        <w:gridCol w:w="1599"/>
        <w:gridCol w:w="1236"/>
      </w:tblGrid>
      <w:tr w:rsidR="00BA143A" w14:paraId="193DD355" w14:textId="77777777" w:rsidTr="00405316">
        <w:trPr>
          <w:trHeight w:val="20"/>
        </w:trPr>
        <w:tc>
          <w:tcPr>
            <w:tcW w:w="2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63A4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61A5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A143A" w14:paraId="48589A3D" w14:textId="77777777" w:rsidTr="00405316">
        <w:trPr>
          <w:trHeight w:val="20"/>
        </w:trPr>
        <w:tc>
          <w:tcPr>
            <w:tcW w:w="2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B465" w14:textId="77777777" w:rsidR="00BA143A" w:rsidRDefault="00BA143A" w:rsidP="00BA143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6ADE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C13C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5D490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143A" w14:paraId="71028ED1" w14:textId="77777777" w:rsidTr="00405316">
        <w:trPr>
          <w:trHeight w:val="2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278B9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E4BA4" w14:textId="6C3B75C8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A4ED" w14:textId="6397B63A" w:rsidR="00BA143A" w:rsidRDefault="001D7E7E" w:rsidP="0038336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E37A" w14:textId="008688A0" w:rsidR="00BA143A" w:rsidRDefault="001D7E7E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4,0</w:t>
            </w:r>
            <w:r w:rsidR="003833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05</w:t>
            </w:r>
            <w:r w:rsidR="00BA14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43A" w14:paraId="60FBCAF2" w14:textId="77777777" w:rsidTr="00405316">
        <w:trPr>
          <w:trHeight w:val="2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DD6B" w14:textId="5AD22091" w:rsidR="00BA143A" w:rsidRDefault="008908E6" w:rsidP="00BA143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FE28" w14:textId="45886909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056B" w14:textId="2955B355" w:rsidR="00BA143A" w:rsidRDefault="001D7E7E" w:rsidP="0038336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  <w:r w:rsidR="0038336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 w:rsidR="00BA14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EBF3F" w14:textId="25F778F6" w:rsidR="00BA143A" w:rsidRDefault="001D7E7E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D7E7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4,005</w:t>
            </w:r>
          </w:p>
        </w:tc>
      </w:tr>
      <w:tr w:rsidR="001D7E7E" w14:paraId="5B83ABC1" w14:textId="77777777" w:rsidTr="00405316">
        <w:trPr>
          <w:trHeight w:val="20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03D3" w14:textId="350BDA3A" w:rsidR="001D7E7E" w:rsidRDefault="001D7E7E" w:rsidP="00BA143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B87B" w14:textId="160A3813" w:rsidR="001D7E7E" w:rsidRDefault="001D7E7E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FFDA" w14:textId="420AC121" w:rsidR="001D7E7E" w:rsidRDefault="001D7E7E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3EBE" w14:textId="2115EF8B" w:rsidR="001D7E7E" w:rsidRDefault="001D7E7E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7E7E">
              <w:rPr>
                <w:rFonts w:ascii="Arial Narrow" w:hAnsi="Arial Narrow"/>
                <w:i/>
                <w:iCs/>
                <w:sz w:val="20"/>
                <w:szCs w:val="20"/>
              </w:rPr>
              <w:t>4,005</w:t>
            </w:r>
          </w:p>
        </w:tc>
      </w:tr>
      <w:tr w:rsidR="001D7E7E" w14:paraId="4EEEDCDC" w14:textId="77777777" w:rsidTr="00405316">
        <w:trPr>
          <w:trHeight w:val="20"/>
        </w:trPr>
        <w:tc>
          <w:tcPr>
            <w:tcW w:w="2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E09C8" w14:textId="54724B8E" w:rsidR="001D7E7E" w:rsidRDefault="001D7E7E" w:rsidP="001D7E7E">
            <w:pPr>
              <w:spacing w:after="0" w:line="240" w:lineRule="auto"/>
              <w:ind w:left="126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A013F" w14:textId="1757BC6B" w:rsidR="001D7E7E" w:rsidRDefault="001D7E7E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E7B38" w14:textId="372EFF61" w:rsidR="001D7E7E" w:rsidRDefault="001D7E7E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9E910" w14:textId="6F2626B3" w:rsidR="001D7E7E" w:rsidRDefault="001D7E7E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7E7E">
              <w:rPr>
                <w:rFonts w:ascii="Arial Narrow" w:hAnsi="Arial Narrow"/>
                <w:i/>
                <w:iCs/>
                <w:sz w:val="20"/>
                <w:szCs w:val="20"/>
              </w:rPr>
              <w:t>4,005</w:t>
            </w:r>
          </w:p>
        </w:tc>
      </w:tr>
    </w:tbl>
    <w:p w14:paraId="11350B34" w14:textId="2B0BA57A" w:rsidR="00E97EC4" w:rsidRPr="008268F2" w:rsidRDefault="00E97EC4" w:rsidP="00800D38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-going assessment and validation on the total number of affected families and individuals.</w:t>
      </w:r>
    </w:p>
    <w:p w14:paraId="781989EB" w14:textId="693A41A6" w:rsidR="004A4E86" w:rsidRDefault="001149A2" w:rsidP="004053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1D7E7E" w:rsidRPr="001D7E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D7E7E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5B0ACF0D" w14:textId="6FB905CB" w:rsidR="00C34723" w:rsidRDefault="00C34723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203575" w14:textId="0537E64A" w:rsidR="00115767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F76B32" w14:textId="2A074A7E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="00B174F5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 w:rsidR="00B174F5" w:rsidRPr="0014154D">
        <w:rPr>
          <w:rFonts w:ascii="Arial" w:eastAsia="Arial" w:hAnsi="Arial" w:cs="Arial"/>
          <w:sz w:val="24"/>
          <w:szCs w:val="24"/>
        </w:rPr>
        <w:t>(see</w:t>
      </w:r>
      <w:r w:rsidR="00B174F5">
        <w:rPr>
          <w:rFonts w:ascii="Arial" w:eastAsia="Arial" w:hAnsi="Arial" w:cs="Arial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Table</w:t>
      </w:r>
      <w:r w:rsidR="00B174F5">
        <w:rPr>
          <w:rFonts w:ascii="Arial" w:eastAsia="Arial" w:hAnsi="Arial" w:cs="Arial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2)</w:t>
      </w:r>
    </w:p>
    <w:p w14:paraId="6C3DBFAB" w14:textId="66F73A26" w:rsidR="00B174F5" w:rsidRDefault="00B174F5" w:rsidP="00B174F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57EA211" w14:textId="23B7E5BC" w:rsidR="00B174F5" w:rsidRPr="00B174F5" w:rsidRDefault="00B174F5" w:rsidP="00B174F5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 w:rsidR="000E482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31" w:type="pct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  <w:gridCol w:w="2272"/>
        <w:gridCol w:w="1417"/>
        <w:gridCol w:w="1275"/>
      </w:tblGrid>
      <w:tr w:rsidR="000E482D" w14:paraId="0C2B1BFC" w14:textId="77777777" w:rsidTr="00405316">
        <w:trPr>
          <w:trHeight w:val="20"/>
        </w:trPr>
        <w:tc>
          <w:tcPr>
            <w:tcW w:w="2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7794B" w14:textId="77777777" w:rsidR="000E482D" w:rsidRDefault="000E482D" w:rsidP="001D7E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FBBF" w14:textId="77777777" w:rsidR="000E482D" w:rsidRDefault="000E482D" w:rsidP="001D7E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AD5DC" w14:textId="77777777" w:rsidR="000E482D" w:rsidRDefault="000E482D" w:rsidP="001D7E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INSIDE ECs </w:t>
            </w:r>
          </w:p>
        </w:tc>
      </w:tr>
      <w:tr w:rsidR="000E482D" w14:paraId="49EF1BE0" w14:textId="77777777" w:rsidTr="00405316">
        <w:trPr>
          <w:trHeight w:val="20"/>
        </w:trPr>
        <w:tc>
          <w:tcPr>
            <w:tcW w:w="2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34DE" w14:textId="77777777" w:rsidR="001D7E7E" w:rsidRDefault="001D7E7E" w:rsidP="001D7E7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06D6" w14:textId="77777777" w:rsidR="001D7E7E" w:rsidRDefault="001D7E7E" w:rsidP="001D7E7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9FF94" w14:textId="77777777" w:rsidR="001D7E7E" w:rsidRDefault="001D7E7E" w:rsidP="001D7E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EC7AE" w14:textId="77777777" w:rsidR="001D7E7E" w:rsidRDefault="001D7E7E" w:rsidP="001D7E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E482D" w14:paraId="7AE68A1B" w14:textId="77777777" w:rsidTr="00405316">
        <w:trPr>
          <w:trHeight w:val="20"/>
        </w:trPr>
        <w:tc>
          <w:tcPr>
            <w:tcW w:w="2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D4D05" w14:textId="77777777" w:rsidR="001D7E7E" w:rsidRDefault="001D7E7E" w:rsidP="001D7E7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0A132" w14:textId="77777777" w:rsidR="001D7E7E" w:rsidRDefault="001D7E7E" w:rsidP="001D7E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4AFB1" w14:textId="77777777" w:rsidR="001D7E7E" w:rsidRDefault="001D7E7E" w:rsidP="001D7E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4D971" w14:textId="77777777" w:rsidR="001D7E7E" w:rsidRDefault="001D7E7E" w:rsidP="001D7E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E482D" w14:paraId="5F6471AB" w14:textId="77777777" w:rsidTr="00405316">
        <w:trPr>
          <w:trHeight w:val="20"/>
        </w:trPr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89AC" w14:textId="77777777" w:rsidR="001D7E7E" w:rsidRDefault="001D7E7E" w:rsidP="001D7E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8698" w14:textId="22F90BDF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44DD" w14:textId="3F26AED5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801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5D5B6" w14:textId="69B27925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4,005 </w:t>
            </w:r>
          </w:p>
        </w:tc>
      </w:tr>
      <w:tr w:rsidR="000E482D" w14:paraId="2623F2E9" w14:textId="77777777" w:rsidTr="00405316">
        <w:trPr>
          <w:trHeight w:val="20"/>
        </w:trPr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9A30F" w14:textId="77777777" w:rsidR="001D7E7E" w:rsidRDefault="001D7E7E" w:rsidP="001D7E7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14C8C" w14:textId="367D65FB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23F05" w14:textId="36F97004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801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88A71" w14:textId="6DA7BB57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4,005 </w:t>
            </w:r>
          </w:p>
        </w:tc>
      </w:tr>
      <w:tr w:rsidR="000E482D" w14:paraId="5AD1D112" w14:textId="77777777" w:rsidTr="00405316">
        <w:trPr>
          <w:trHeight w:val="20"/>
        </w:trPr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A90A9" w14:textId="77777777" w:rsidR="001D7E7E" w:rsidRDefault="001D7E7E" w:rsidP="001D7E7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C9031" w14:textId="68B5DDFF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477C0" w14:textId="70A649F6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801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2D353" w14:textId="47B685D4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4,005 </w:t>
            </w:r>
          </w:p>
        </w:tc>
      </w:tr>
      <w:tr w:rsidR="000E482D" w14:paraId="69902F40" w14:textId="77777777" w:rsidTr="00405316">
        <w:trPr>
          <w:trHeight w:val="20"/>
        </w:trPr>
        <w:tc>
          <w:tcPr>
            <w:tcW w:w="2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C14E1" w14:textId="2848EB58" w:rsidR="001D7E7E" w:rsidRPr="008D5DB5" w:rsidRDefault="001D7E7E" w:rsidP="008D5DB5">
            <w:pPr>
              <w:spacing w:after="0" w:line="240" w:lineRule="auto"/>
              <w:ind w:left="12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9EA2F" w14:textId="66835759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9DCE0" w14:textId="523A28BC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B4202" w14:textId="23F0EA78" w:rsidR="001D7E7E" w:rsidRDefault="001D7E7E" w:rsidP="001D7E7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4,005 </w:t>
            </w:r>
          </w:p>
        </w:tc>
      </w:tr>
    </w:tbl>
    <w:p w14:paraId="3E3E943D" w14:textId="29096887" w:rsidR="0095617A" w:rsidRPr="008268F2" w:rsidRDefault="0095617A" w:rsidP="00800D38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bookmarkStart w:id="1" w:name="_GoBack"/>
      <w:bookmarkEnd w:id="1"/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going assessment and validation.</w:t>
      </w:r>
    </w:p>
    <w:p w14:paraId="01C9C560" w14:textId="5B02489B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D7E7E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5AD9E4B3" w14:textId="11CA8AA1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E0FB66" w14:textId="77777777" w:rsidR="006D426D" w:rsidRDefault="006D426D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515152C4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617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9100239" w:rsidR="00985089" w:rsidRPr="0095617A" w:rsidRDefault="00EC4343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 February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BD28214" w:rsidR="00985089" w:rsidRPr="007B5F74" w:rsidRDefault="00E97EC4" w:rsidP="007E4789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5F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E4789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7B5F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243BDC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160D00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7B5F74">
        <w:trPr>
          <w:trHeight w:val="48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0406CF8" w:rsidR="001149A2" w:rsidRPr="00EC4343" w:rsidRDefault="00EC4343" w:rsidP="00EC434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 Februa</w:t>
            </w:r>
            <w:r w:rsidR="00415B84" w:rsidRPr="00EC4343">
              <w:rPr>
                <w:rFonts w:ascii="Arial" w:eastAsia="Arial" w:hAnsi="Arial" w:cs="Arial"/>
                <w:color w:val="0070C0"/>
                <w:sz w:val="20"/>
                <w:szCs w:val="24"/>
              </w:rPr>
              <w:t>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6E6A30" w14:textId="77777777" w:rsidR="007B5F74" w:rsidRPr="007E4789" w:rsidRDefault="0038336B" w:rsidP="0038336B">
            <w:pPr>
              <w:pStyle w:val="ListParagraph"/>
              <w:numPr>
                <w:ilvl w:val="3"/>
                <w:numId w:val="17"/>
              </w:numPr>
              <w:spacing w:after="0"/>
              <w:ind w:left="366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8336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E4789">
              <w:rPr>
                <w:rFonts w:ascii="Arial" w:hAnsi="Arial" w:cs="Arial"/>
                <w:color w:val="0070C0"/>
                <w:sz w:val="20"/>
                <w:szCs w:val="20"/>
              </w:rPr>
              <w:t>The DSWD-FO CALABARZON continuously coordinating with the Cainta LGU for significant reports on the status of affected families, assistance and relief efforts.</w:t>
            </w:r>
          </w:p>
          <w:p w14:paraId="5D27089D" w14:textId="77777777" w:rsidR="007E4789" w:rsidRPr="007E4789" w:rsidRDefault="007E4789" w:rsidP="0038336B">
            <w:pPr>
              <w:pStyle w:val="ListParagraph"/>
              <w:numPr>
                <w:ilvl w:val="3"/>
                <w:numId w:val="17"/>
              </w:numPr>
              <w:spacing w:after="0"/>
              <w:ind w:left="366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Local Government of Cainta has provided family food packs, folding beds and hot meals to the affected families.</w:t>
            </w:r>
          </w:p>
          <w:p w14:paraId="0F3036FC" w14:textId="77777777" w:rsidR="007E4789" w:rsidRPr="007E4789" w:rsidRDefault="007E4789" w:rsidP="0038336B">
            <w:pPr>
              <w:pStyle w:val="ListParagraph"/>
              <w:numPr>
                <w:ilvl w:val="3"/>
                <w:numId w:val="17"/>
              </w:numPr>
              <w:spacing w:after="0"/>
              <w:ind w:left="366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Municipal Social Welfare and Development Office (MSWDO) of Cainta is currently conducting profiling to determine the total number of affected families and to identify their needs.</w:t>
            </w:r>
          </w:p>
          <w:p w14:paraId="1061E0DF" w14:textId="60449B03" w:rsidR="00981AD2" w:rsidRPr="00981AD2" w:rsidRDefault="007E4789" w:rsidP="00981AD2">
            <w:pPr>
              <w:pStyle w:val="ListParagraph"/>
              <w:numPr>
                <w:ilvl w:val="3"/>
                <w:numId w:val="17"/>
              </w:numPr>
              <w:spacing w:after="0"/>
              <w:ind w:left="366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Rizal Provincial Disaster Risk Reduction and Management Council (PDRRMC) deployed personnel on the ground to conduct validation and assessment on the current needs </w:t>
            </w:r>
            <w:r w:rsidR="00981AD2">
              <w:rPr>
                <w:rFonts w:ascii="Arial" w:hAnsi="Arial" w:cs="Arial"/>
                <w:color w:val="0070C0"/>
                <w:sz w:val="20"/>
                <w:szCs w:val="20"/>
              </w:rPr>
              <w:t>of the affected population to determine the possible assistance to be provided.</w:t>
            </w:r>
          </w:p>
        </w:tc>
      </w:tr>
    </w:tbl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68E0D6B1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160D00">
        <w:rPr>
          <w:rFonts w:ascii="Arial" w:eastAsia="Arial" w:hAnsi="Arial" w:cs="Arial"/>
          <w:i/>
          <w:color w:val="263238"/>
          <w:sz w:val="20"/>
          <w:szCs w:val="24"/>
        </w:rPr>
        <w:t>CALABARZON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AA50854" w:rsidR="00C9090C" w:rsidRPr="008268F2" w:rsidRDefault="00160D00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3D7D" w14:textId="77777777" w:rsidR="00467265" w:rsidRDefault="00467265">
      <w:pPr>
        <w:spacing w:after="0" w:line="240" w:lineRule="auto"/>
      </w:pPr>
      <w:r>
        <w:separator/>
      </w:r>
    </w:p>
  </w:endnote>
  <w:endnote w:type="continuationSeparator" w:id="0">
    <w:p w14:paraId="2846382A" w14:textId="77777777" w:rsidR="00467265" w:rsidRDefault="0046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AA6D3F9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00D38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00D3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>Brgy. Santo Domingo, Cainta, Rizal as of 04 February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7E6C4D">
      <w:rPr>
        <w:rFonts w:ascii="Arial" w:eastAsia="Arial" w:hAnsi="Arial" w:cs="Arial"/>
        <w:sz w:val="14"/>
        <w:szCs w:val="14"/>
      </w:rPr>
      <w:t>7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D0D6B" w14:textId="77777777" w:rsidR="00467265" w:rsidRDefault="00467265">
      <w:pPr>
        <w:spacing w:after="0" w:line="240" w:lineRule="auto"/>
      </w:pPr>
      <w:r>
        <w:separator/>
      </w:r>
    </w:p>
  </w:footnote>
  <w:footnote w:type="continuationSeparator" w:id="0">
    <w:p w14:paraId="30D80DB3" w14:textId="77777777" w:rsidR="00467265" w:rsidRDefault="0046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12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83789"/>
    <w:rsid w:val="00096310"/>
    <w:rsid w:val="000E38E9"/>
    <w:rsid w:val="000E43D4"/>
    <w:rsid w:val="000E482D"/>
    <w:rsid w:val="000F4719"/>
    <w:rsid w:val="00103995"/>
    <w:rsid w:val="001149A2"/>
    <w:rsid w:val="00115767"/>
    <w:rsid w:val="00135103"/>
    <w:rsid w:val="001574F4"/>
    <w:rsid w:val="00160D00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2F6EC4"/>
    <w:rsid w:val="003169F2"/>
    <w:rsid w:val="0031795A"/>
    <w:rsid w:val="0033511E"/>
    <w:rsid w:val="00371C7A"/>
    <w:rsid w:val="0038336B"/>
    <w:rsid w:val="00383D41"/>
    <w:rsid w:val="003861C6"/>
    <w:rsid w:val="0039157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7A5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F668A"/>
    <w:rsid w:val="005364F5"/>
    <w:rsid w:val="0058197B"/>
    <w:rsid w:val="005838F4"/>
    <w:rsid w:val="00590B6B"/>
    <w:rsid w:val="005B7B3E"/>
    <w:rsid w:val="006106D8"/>
    <w:rsid w:val="0061793C"/>
    <w:rsid w:val="00651F59"/>
    <w:rsid w:val="00672917"/>
    <w:rsid w:val="0068671A"/>
    <w:rsid w:val="0069788A"/>
    <w:rsid w:val="006A6903"/>
    <w:rsid w:val="006B1536"/>
    <w:rsid w:val="006C4FA4"/>
    <w:rsid w:val="006C7E5F"/>
    <w:rsid w:val="006D426D"/>
    <w:rsid w:val="006F0656"/>
    <w:rsid w:val="006F4650"/>
    <w:rsid w:val="006F7673"/>
    <w:rsid w:val="00721CF9"/>
    <w:rsid w:val="007313BB"/>
    <w:rsid w:val="0073140C"/>
    <w:rsid w:val="00735A53"/>
    <w:rsid w:val="0073758B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908E6"/>
    <w:rsid w:val="008A0185"/>
    <w:rsid w:val="008A2D8A"/>
    <w:rsid w:val="008A3214"/>
    <w:rsid w:val="008B1217"/>
    <w:rsid w:val="008C69B2"/>
    <w:rsid w:val="008C6D94"/>
    <w:rsid w:val="008D5DB5"/>
    <w:rsid w:val="008E4068"/>
    <w:rsid w:val="008E7D9B"/>
    <w:rsid w:val="008F1FFB"/>
    <w:rsid w:val="00901E90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808ED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557E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6021"/>
    <w:rsid w:val="00AE7D6B"/>
    <w:rsid w:val="00B174F5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A143A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667C9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17C51"/>
    <w:rsid w:val="00F242DB"/>
    <w:rsid w:val="00F31B3F"/>
    <w:rsid w:val="00F460E8"/>
    <w:rsid w:val="00F63AF5"/>
    <w:rsid w:val="00F75D3D"/>
    <w:rsid w:val="00FA665B"/>
    <w:rsid w:val="00FB1276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21</cp:revision>
  <dcterms:created xsi:type="dcterms:W3CDTF">2019-02-04T10:07:00Z</dcterms:created>
  <dcterms:modified xsi:type="dcterms:W3CDTF">2019-02-04T10:59:00Z</dcterms:modified>
</cp:coreProperties>
</file>