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1784" w:rsidRPr="00561784" w:rsidRDefault="00FC54C7" w:rsidP="00561784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561784">
        <w:rPr>
          <w:rFonts w:ascii="Arial" w:eastAsia="Arial" w:hAnsi="Arial" w:cs="Arial"/>
          <w:b/>
          <w:sz w:val="32"/>
          <w:szCs w:val="24"/>
        </w:rPr>
        <w:t>DSWD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DROMIC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Report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#</w:t>
      </w:r>
      <w:r w:rsidR="00853265">
        <w:rPr>
          <w:rFonts w:ascii="Arial" w:eastAsia="Arial" w:hAnsi="Arial" w:cs="Arial"/>
          <w:b/>
          <w:sz w:val="32"/>
          <w:szCs w:val="24"/>
        </w:rPr>
        <w:t>3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on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the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Armed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Pr="00561784">
        <w:rPr>
          <w:rFonts w:ascii="Arial" w:eastAsia="Arial" w:hAnsi="Arial" w:cs="Arial"/>
          <w:b/>
          <w:sz w:val="32"/>
          <w:szCs w:val="24"/>
        </w:rPr>
        <w:t>Conflict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70FE4" w:rsidRPr="00561784" w:rsidRDefault="00C038FD" w:rsidP="00561784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561784">
        <w:rPr>
          <w:rFonts w:ascii="Arial" w:eastAsia="Arial" w:hAnsi="Arial" w:cs="Arial"/>
          <w:b/>
          <w:sz w:val="32"/>
          <w:szCs w:val="24"/>
        </w:rPr>
        <w:t>in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San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Jorge,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Western</w:t>
      </w:r>
      <w:r w:rsidR="00A61B90">
        <w:rPr>
          <w:rFonts w:ascii="Arial" w:eastAsia="Arial" w:hAnsi="Arial" w:cs="Arial"/>
          <w:b/>
          <w:sz w:val="32"/>
          <w:szCs w:val="24"/>
        </w:rPr>
        <w:t xml:space="preserve"> </w:t>
      </w:r>
      <w:r w:rsidR="00FF2C09" w:rsidRPr="00561784">
        <w:rPr>
          <w:rFonts w:ascii="Arial" w:eastAsia="Arial" w:hAnsi="Arial" w:cs="Arial"/>
          <w:b/>
          <w:sz w:val="32"/>
          <w:szCs w:val="24"/>
        </w:rPr>
        <w:t>Samar</w:t>
      </w:r>
    </w:p>
    <w:p w:rsidR="00470FE4" w:rsidRPr="00561784" w:rsidRDefault="002E1F6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561784">
        <w:rPr>
          <w:rFonts w:ascii="Arial" w:eastAsia="Arial" w:hAnsi="Arial" w:cs="Arial"/>
          <w:sz w:val="24"/>
          <w:szCs w:val="24"/>
        </w:rPr>
        <w:t>as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of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853265">
        <w:rPr>
          <w:rFonts w:ascii="Arial" w:eastAsia="Arial" w:hAnsi="Arial" w:cs="Arial"/>
          <w:sz w:val="24"/>
          <w:szCs w:val="24"/>
        </w:rPr>
        <w:t>12 February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B40BA4" w:rsidRPr="00561784">
        <w:rPr>
          <w:rFonts w:ascii="Arial" w:eastAsia="Arial" w:hAnsi="Arial" w:cs="Arial"/>
          <w:sz w:val="24"/>
          <w:szCs w:val="24"/>
        </w:rPr>
        <w:t>2019</w:t>
      </w:r>
      <w:r w:rsidRPr="00561784">
        <w:rPr>
          <w:rFonts w:ascii="Arial" w:eastAsia="Arial" w:hAnsi="Arial" w:cs="Arial"/>
          <w:sz w:val="24"/>
          <w:szCs w:val="24"/>
        </w:rPr>
        <w:t>,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853265">
        <w:rPr>
          <w:rFonts w:ascii="Arial" w:eastAsia="Arial" w:hAnsi="Arial" w:cs="Arial"/>
          <w:sz w:val="24"/>
          <w:szCs w:val="24"/>
        </w:rPr>
        <w:t>6</w:t>
      </w:r>
      <w:r w:rsidR="00B40BA4" w:rsidRPr="00561784">
        <w:rPr>
          <w:rFonts w:ascii="Arial" w:eastAsia="Arial" w:hAnsi="Arial" w:cs="Arial"/>
          <w:sz w:val="24"/>
          <w:szCs w:val="24"/>
        </w:rPr>
        <w:t>P</w:t>
      </w:r>
      <w:r w:rsidRPr="00561784">
        <w:rPr>
          <w:rFonts w:ascii="Arial" w:eastAsia="Arial" w:hAnsi="Arial" w:cs="Arial"/>
          <w:sz w:val="24"/>
          <w:szCs w:val="24"/>
        </w:rPr>
        <w:t>M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561784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bookmarkStart w:id="1" w:name="_gjdgxs" w:colFirst="0" w:colLast="0"/>
      <w:bookmarkEnd w:id="1"/>
      <w:r w:rsidRPr="0056178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66FE9" w:rsidRPr="00561784" w:rsidRDefault="00FC54C7" w:rsidP="00EE706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</w:pPr>
      <w:r w:rsidRPr="00561784">
        <w:rPr>
          <w:rFonts w:ascii="Arial" w:eastAsia="Arial" w:hAnsi="Arial" w:cs="Arial"/>
          <w:sz w:val="24"/>
          <w:szCs w:val="24"/>
        </w:rPr>
        <w:t>On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January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16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2019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around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4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:00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PM,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encounter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between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Philippine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Army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F66FE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NPA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49732B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occurred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D802AD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Brgy</w:t>
      </w:r>
      <w:proofErr w:type="spellEnd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Bay-</w:t>
      </w:r>
      <w:proofErr w:type="spellStart"/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ang</w:t>
      </w:r>
      <w:proofErr w:type="spellEnd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Jorge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Western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EE7069" w:rsidRP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Samar.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This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incident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put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children,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senior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citizens,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pregnant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women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risk.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Another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encounter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occurred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in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Brgy</w:t>
      </w:r>
      <w:proofErr w:type="spellEnd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proofErr w:type="spellStart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Calundan</w:t>
      </w:r>
      <w:proofErr w:type="spellEnd"/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Jorge,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Western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Samar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on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21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January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2019,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causing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panic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to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residents.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Families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left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their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homes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and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fled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night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time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to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seek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for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a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safer</w:t>
      </w:r>
      <w:r w:rsidR="00A61B90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 xml:space="preserve"> </w:t>
      </w:r>
      <w:r w:rsidR="00561784">
        <w:rPr>
          <w:rFonts w:ascii="Arial" w:eastAsia="Arial" w:hAnsi="Arial" w:cs="Arial"/>
          <w:sz w:val="24"/>
          <w:szCs w:val="24"/>
          <w:shd w:val="clear" w:color="050000" w:fill="auto"/>
          <w:lang w:val="en-US" w:eastAsia="zh-CN"/>
        </w:rPr>
        <w:t>ground.</w:t>
      </w:r>
    </w:p>
    <w:p w:rsidR="00470FE4" w:rsidRPr="0056178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81A7A" w:rsidRPr="00561784" w:rsidRDefault="00981A7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561784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2" w:name="_30j0zll" w:colFirst="0" w:colLast="0"/>
      <w:bookmarkEnd w:id="2"/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22385" w:rsidRPr="00561784" w:rsidRDefault="00922385" w:rsidP="00D802AD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total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3022E" w:rsidRPr="009A4D3C">
        <w:rPr>
          <w:rFonts w:ascii="Arial" w:eastAsia="Arial" w:hAnsi="Arial" w:cs="Arial"/>
          <w:b/>
          <w:color w:val="auto"/>
          <w:sz w:val="24"/>
          <w:szCs w:val="24"/>
        </w:rPr>
        <w:t>66</w:t>
      </w:r>
      <w:r w:rsidR="00A61B90" w:rsidRPr="009A4D3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4D3C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A61B90" w:rsidRPr="009A4D3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A4D3C">
        <w:rPr>
          <w:rFonts w:ascii="Arial" w:eastAsia="Arial" w:hAnsi="Arial" w:cs="Arial"/>
          <w:color w:val="auto"/>
          <w:sz w:val="24"/>
          <w:szCs w:val="24"/>
        </w:rPr>
        <w:t>or</w:t>
      </w:r>
      <w:r w:rsidR="00A61B90" w:rsidRPr="009A4D3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3022E" w:rsidRPr="009A4D3C">
        <w:rPr>
          <w:rFonts w:ascii="Arial" w:eastAsia="Arial" w:hAnsi="Arial" w:cs="Arial"/>
          <w:b/>
          <w:color w:val="auto"/>
          <w:sz w:val="24"/>
          <w:szCs w:val="24"/>
        </w:rPr>
        <w:t>264</w:t>
      </w:r>
      <w:r w:rsidR="00A61B90" w:rsidRPr="009A4D3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A4D3C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A61B90" w:rsidRPr="009A4D3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were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affected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="009A4D3C">
        <w:rPr>
          <w:rFonts w:ascii="Arial" w:eastAsia="Arial" w:hAnsi="Arial" w:cs="Arial"/>
          <w:sz w:val="24"/>
          <w:szCs w:val="24"/>
        </w:rPr>
        <w:t xml:space="preserve">on the armed conflict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A61B9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FF2C09" w:rsidRPr="0056178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San</w:t>
      </w:r>
      <w:r w:rsidR="00A61B9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="00FF2C09" w:rsidRPr="00561784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Jorge</w:t>
      </w:r>
      <w:r w:rsidR="00A61B9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, Western Samar</w:t>
      </w:r>
      <w:r w:rsidR="009A4D3C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.</w:t>
      </w:r>
      <w:r w:rsidR="00A61B9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A61B9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:rsidR="00AA049E" w:rsidRPr="00561784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70FE4" w:rsidRPr="00A61B90" w:rsidRDefault="00FC54C7" w:rsidP="00D802AD">
      <w:pPr>
        <w:spacing w:after="0" w:line="240" w:lineRule="auto"/>
        <w:ind w:firstLine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1B90">
        <w:rPr>
          <w:rFonts w:ascii="Arial" w:eastAsia="Arial" w:hAnsi="Arial" w:cs="Arial"/>
          <w:b/>
          <w:i/>
          <w:sz w:val="20"/>
          <w:szCs w:val="24"/>
        </w:rPr>
        <w:t>Table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1.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Affected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b/>
          <w:i/>
          <w:sz w:val="20"/>
          <w:szCs w:val="24"/>
        </w:rPr>
        <w:t>Persons</w:t>
      </w:r>
      <w:r w:rsidR="00A61B90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851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"/>
        <w:gridCol w:w="4724"/>
        <w:gridCol w:w="1753"/>
        <w:gridCol w:w="1438"/>
        <w:gridCol w:w="1438"/>
      </w:tblGrid>
      <w:tr w:rsidR="00FF2C09" w:rsidRPr="00A61B90" w:rsidTr="00A61B90">
        <w:trPr>
          <w:trHeight w:val="20"/>
        </w:trPr>
        <w:tc>
          <w:tcPr>
            <w:tcW w:w="25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PROVINCE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/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MUNICIPALITY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NUMBER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AFFECTED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Barangays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Families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Persons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GRAND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REGION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VIII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Western</w:t>
            </w:r>
            <w:r w:rsidR="00A61B90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Samar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b/>
                <w:bCs/>
                <w:sz w:val="20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66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b/>
                <w:b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FF2C09" w:rsidRPr="00A61B90" w:rsidTr="00A61B90">
        <w:trPr>
          <w:trHeight w:val="20"/>
        </w:trPr>
        <w:tc>
          <w:tcPr>
            <w:tcW w:w="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FF2C09" w:rsidP="009A4D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San</w:t>
            </w:r>
            <w:r w:rsidR="00A61B90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Jorge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FF2C09" w:rsidRPr="00A61B90">
              <w:rPr>
                <w:rFonts w:ascii="Arial" w:hAnsi="Arial" w:cs="Arial"/>
                <w:i/>
                <w:iCs/>
                <w:sz w:val="20"/>
                <w:szCs w:val="24"/>
              </w:rPr>
              <w:t>2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66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F2C09" w:rsidRPr="00A61B90" w:rsidRDefault="00A61B90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7D450C">
              <w:rPr>
                <w:rFonts w:ascii="Arial" w:hAnsi="Arial" w:cs="Arial"/>
                <w:i/>
                <w:iCs/>
                <w:sz w:val="20"/>
                <w:szCs w:val="24"/>
              </w:rPr>
              <w:t>264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:rsidR="008F3C7A" w:rsidRPr="00A61B90" w:rsidRDefault="008F3C7A" w:rsidP="008F3C7A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470FE4" w:rsidRPr="00A61B90" w:rsidRDefault="00FC54C7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A61B90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1F205C" w:rsidRPr="00A61B90">
        <w:rPr>
          <w:rFonts w:ascii="Arial" w:eastAsia="Arial" w:hAnsi="Arial" w:cs="Arial"/>
          <w:i/>
          <w:color w:val="2F5496"/>
          <w:sz w:val="16"/>
          <w:szCs w:val="24"/>
        </w:rPr>
        <w:t>VIII</w:t>
      </w:r>
    </w:p>
    <w:p w:rsidR="00470FE4" w:rsidRPr="00561784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D30B5C" w:rsidRPr="00561784" w:rsidRDefault="00FC54C7" w:rsidP="0065461E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9A4D3C"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A4D3C"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:rsidR="00AA049E" w:rsidRPr="00561784" w:rsidRDefault="00AA049E" w:rsidP="00AA049E">
      <w:pPr>
        <w:spacing w:after="0" w:line="240" w:lineRule="auto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E603B3" w:rsidRDefault="009A4D3C" w:rsidP="00D802AD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9A4D3C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 and Outside ECs</w:t>
      </w:r>
    </w:p>
    <w:tbl>
      <w:tblPr>
        <w:tblW w:w="483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1567"/>
        <w:gridCol w:w="552"/>
        <w:gridCol w:w="619"/>
        <w:gridCol w:w="517"/>
        <w:gridCol w:w="519"/>
        <w:gridCol w:w="520"/>
        <w:gridCol w:w="520"/>
        <w:gridCol w:w="520"/>
        <w:gridCol w:w="520"/>
        <w:gridCol w:w="602"/>
        <w:gridCol w:w="606"/>
        <w:gridCol w:w="520"/>
        <w:gridCol w:w="520"/>
        <w:gridCol w:w="602"/>
        <w:gridCol w:w="574"/>
      </w:tblGrid>
      <w:tr w:rsidR="009A4D3C" w:rsidTr="009A4D3C">
        <w:trPr>
          <w:trHeight w:val="20"/>
        </w:trPr>
        <w:tc>
          <w:tcPr>
            <w:tcW w:w="9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10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  <w:tc>
          <w:tcPr>
            <w:tcW w:w="119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  <w:tc>
          <w:tcPr>
            <w:tcW w:w="11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SERVED </w:t>
            </w:r>
          </w:p>
        </w:tc>
      </w:tr>
      <w:tr w:rsidR="009A4D3C" w:rsidTr="009A4D3C">
        <w:trPr>
          <w:trHeight w:val="20"/>
        </w:trPr>
        <w:tc>
          <w:tcPr>
            <w:tcW w:w="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9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4D3C" w:rsidTr="009A4D3C">
        <w:trPr>
          <w:trHeight w:val="20"/>
        </w:trPr>
        <w:tc>
          <w:tcPr>
            <w:tcW w:w="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5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Families </w:t>
            </w: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Persons </w:t>
            </w:r>
          </w:p>
        </w:tc>
      </w:tr>
      <w:tr w:rsidR="009A4D3C" w:rsidTr="009A4D3C">
        <w:trPr>
          <w:trHeight w:val="20"/>
        </w:trPr>
        <w:tc>
          <w:tcPr>
            <w:tcW w:w="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A4D3C" w:rsidTr="009A4D3C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400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264 </w:t>
            </w:r>
          </w:p>
        </w:tc>
      </w:tr>
      <w:tr w:rsidR="009A4D3C" w:rsidTr="009A4D3C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400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264 </w:t>
            </w:r>
          </w:p>
        </w:tc>
      </w:tr>
      <w:tr w:rsidR="009A4D3C" w:rsidTr="009A4D3C">
        <w:trPr>
          <w:trHeight w:val="20"/>
        </w:trPr>
        <w:tc>
          <w:tcPr>
            <w:tcW w:w="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400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264 </w:t>
            </w:r>
          </w:p>
        </w:tc>
      </w:tr>
      <w:tr w:rsidR="009A4D3C" w:rsidTr="009A4D3C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136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264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264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400 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9A4D3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264 </w:t>
            </w:r>
          </w:p>
        </w:tc>
      </w:tr>
    </w:tbl>
    <w:p w:rsidR="008F3C7A" w:rsidRPr="00A61B90" w:rsidRDefault="008F3C7A" w:rsidP="009A4D3C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65461E" w:rsidRPr="00A61B90" w:rsidRDefault="00E603B3" w:rsidP="009A4D3C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65461E" w:rsidRPr="00A61B90">
        <w:rPr>
          <w:rFonts w:ascii="Arial" w:eastAsia="Arial" w:hAnsi="Arial" w:cs="Arial"/>
          <w:i/>
          <w:color w:val="002060"/>
          <w:sz w:val="16"/>
          <w:szCs w:val="24"/>
        </w:rPr>
        <w:t>VI</w:t>
      </w:r>
      <w:r w:rsidR="009A4D3C">
        <w:rPr>
          <w:rFonts w:ascii="Arial" w:eastAsia="Arial" w:hAnsi="Arial" w:cs="Arial"/>
          <w:i/>
          <w:color w:val="002060"/>
          <w:sz w:val="16"/>
          <w:szCs w:val="24"/>
        </w:rPr>
        <w:t>I</w:t>
      </w:r>
      <w:r w:rsidR="0065461E" w:rsidRPr="00A61B90">
        <w:rPr>
          <w:rFonts w:ascii="Arial" w:eastAsia="Arial" w:hAnsi="Arial" w:cs="Arial"/>
          <w:i/>
          <w:color w:val="002060"/>
          <w:sz w:val="16"/>
          <w:szCs w:val="24"/>
        </w:rPr>
        <w:t>I</w:t>
      </w:r>
    </w:p>
    <w:p w:rsidR="00981A7A" w:rsidRPr="00561784" w:rsidRDefault="00981A7A" w:rsidP="00981A7A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F205C" w:rsidRDefault="001F205C" w:rsidP="009A4D3C">
      <w:pPr>
        <w:rPr>
          <w:rFonts w:ascii="Arial" w:eastAsia="Arial" w:hAnsi="Arial" w:cs="Arial"/>
          <w:b/>
          <w:sz w:val="24"/>
          <w:szCs w:val="24"/>
        </w:rPr>
      </w:pPr>
    </w:p>
    <w:p w:rsidR="009A4D3C" w:rsidRDefault="009A4D3C" w:rsidP="009A4D3C">
      <w:pPr>
        <w:rPr>
          <w:rFonts w:ascii="Arial" w:eastAsia="Arial" w:hAnsi="Arial" w:cs="Arial"/>
          <w:b/>
          <w:sz w:val="24"/>
          <w:szCs w:val="24"/>
        </w:rPr>
      </w:pPr>
    </w:p>
    <w:p w:rsidR="009A4D3C" w:rsidRDefault="009A4D3C" w:rsidP="009A4D3C">
      <w:pPr>
        <w:rPr>
          <w:rFonts w:ascii="Arial" w:eastAsia="Arial" w:hAnsi="Arial" w:cs="Arial"/>
          <w:b/>
          <w:sz w:val="24"/>
          <w:szCs w:val="24"/>
        </w:rPr>
      </w:pPr>
    </w:p>
    <w:p w:rsidR="009A4D3C" w:rsidRDefault="009A4D3C" w:rsidP="009A4D3C">
      <w:pPr>
        <w:rPr>
          <w:rFonts w:ascii="Arial" w:eastAsia="Arial" w:hAnsi="Arial" w:cs="Arial"/>
          <w:b/>
          <w:sz w:val="24"/>
          <w:szCs w:val="24"/>
        </w:rPr>
      </w:pPr>
    </w:p>
    <w:p w:rsidR="009A4D3C" w:rsidRPr="009A4D3C" w:rsidRDefault="009A4D3C" w:rsidP="009A4D3C">
      <w:pPr>
        <w:rPr>
          <w:rFonts w:ascii="Arial" w:eastAsia="Arial" w:hAnsi="Arial" w:cs="Arial"/>
          <w:b/>
          <w:sz w:val="24"/>
          <w:szCs w:val="24"/>
        </w:rPr>
      </w:pPr>
    </w:p>
    <w:p w:rsidR="001F205C" w:rsidRDefault="001F205C" w:rsidP="001F205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178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A61B90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9A4D3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9A4D3C"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A4D3C" w:rsidRPr="00561784">
        <w:rPr>
          <w:rFonts w:ascii="Arial" w:hAnsi="Arial" w:cs="Arial"/>
          <w:color w:val="222222"/>
          <w:sz w:val="24"/>
          <w:szCs w:val="24"/>
          <w:shd w:val="clear" w:color="auto" w:fill="FFFFFF"/>
        </w:rPr>
        <w:t>Table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="009A4D3C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:rsidR="009A4D3C" w:rsidRDefault="009A4D3C" w:rsidP="009A4D3C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4D3C" w:rsidRDefault="009A4D3C" w:rsidP="009A4D3C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87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2699"/>
        <w:gridCol w:w="1316"/>
        <w:gridCol w:w="1316"/>
        <w:gridCol w:w="1318"/>
        <w:gridCol w:w="1293"/>
        <w:gridCol w:w="1419"/>
      </w:tblGrid>
      <w:tr w:rsidR="00393045" w:rsidTr="00393045">
        <w:trPr>
          <w:trHeight w:val="20"/>
        </w:trPr>
        <w:tc>
          <w:tcPr>
            <w:tcW w:w="14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45" w:rsidRDefault="00393045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3045" w:rsidRDefault="00393045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93045" w:rsidTr="00393045">
        <w:trPr>
          <w:trHeight w:val="20"/>
        </w:trPr>
        <w:tc>
          <w:tcPr>
            <w:tcW w:w="1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93045" w:rsidTr="00393045">
        <w:trPr>
          <w:trHeight w:val="20"/>
        </w:trPr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153,852.60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115,226.00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282,028.60 </w:t>
            </w:r>
          </w:p>
        </w:tc>
      </w:tr>
      <w:tr w:rsidR="00393045" w:rsidTr="00393045">
        <w:trPr>
          <w:trHeight w:val="20"/>
        </w:trPr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153,852.60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115,226.00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282,028.60 </w:t>
            </w:r>
          </w:p>
        </w:tc>
      </w:tr>
      <w:tr w:rsidR="00393045" w:rsidTr="00393045">
        <w:trPr>
          <w:trHeight w:val="20"/>
        </w:trPr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153,852.60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115,226.00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12,950.00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282,028.60 </w:t>
            </w:r>
          </w:p>
        </w:tc>
      </w:tr>
      <w:tr w:rsidR="00393045" w:rsidTr="00393045">
        <w:trPr>
          <w:trHeight w:val="20"/>
        </w:trPr>
        <w:tc>
          <w:tcPr>
            <w:tcW w:w="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153,852.60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115,226.00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12,950.00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A4D3C" w:rsidRDefault="009A4D3C" w:rsidP="0039304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282,028.60 </w:t>
            </w:r>
          </w:p>
        </w:tc>
      </w:tr>
    </w:tbl>
    <w:p w:rsidR="0065461E" w:rsidRPr="00A61B90" w:rsidRDefault="0065461E" w:rsidP="00393045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A61B90"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A61B90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</w:p>
    <w:p w:rsidR="0065461E" w:rsidRPr="00A61B90" w:rsidRDefault="0065461E" w:rsidP="0065461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Office</w:t>
      </w:r>
      <w:r w:rsidR="00A61B90" w:rsidRPr="00A61B90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A61B90">
        <w:rPr>
          <w:rFonts w:ascii="Arial" w:eastAsia="Arial" w:hAnsi="Arial" w:cs="Arial"/>
          <w:i/>
          <w:color w:val="002060"/>
          <w:sz w:val="16"/>
          <w:szCs w:val="24"/>
        </w:rPr>
        <w:t>VIII</w:t>
      </w:r>
    </w:p>
    <w:p w:rsidR="0065461E" w:rsidRDefault="0065461E" w:rsidP="0065461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A61B90" w:rsidRPr="00561784" w:rsidRDefault="00A61B90" w:rsidP="0065461E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470FE4" w:rsidRPr="00A61B90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  <w:sz w:val="28"/>
          <w:szCs w:val="24"/>
        </w:rPr>
      </w:pPr>
      <w:r w:rsidRPr="00A61B90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A61B90" w:rsidRPr="00A61B90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A61B90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470FE4" w:rsidRPr="00561784" w:rsidRDefault="00A61B9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561784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 w:rsidRPr="00561784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93045" w:rsidRDefault="00393045" w:rsidP="009B3E46">
            <w:pPr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12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February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22385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393045" w:rsidRDefault="00FC54C7" w:rsidP="00A61B9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17" w:hanging="33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VIII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A61B90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B3E46"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Pr="00393045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470FE4" w:rsidRPr="00561784" w:rsidRDefault="00A61B9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470FE4" w:rsidRPr="00561784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 w:rsidRPr="00561784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A61B90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E55C1" w:rsidRPr="00561784">
        <w:rPr>
          <w:rFonts w:ascii="Arial" w:eastAsia="Arial" w:hAnsi="Arial" w:cs="Arial"/>
          <w:b/>
          <w:color w:val="222222"/>
          <w:sz w:val="24"/>
          <w:szCs w:val="24"/>
        </w:rPr>
        <w:t>VIII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A61B90" w:rsidRDefault="00FC54C7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A61B90" w:rsidRPr="00A61B90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A61B90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70FE4" w:rsidRPr="00A61B90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290C83" w:rsidRDefault="00290C83" w:rsidP="00290C83">
            <w:pPr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290C83">
              <w:rPr>
                <w:rFonts w:ascii="Arial" w:eastAsia="Arial" w:hAnsi="Arial" w:cs="Arial"/>
                <w:color w:val="0070C0"/>
                <w:sz w:val="20"/>
                <w:szCs w:val="24"/>
              </w:rPr>
              <w:t>12 February 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3045" w:rsidRDefault="00393045" w:rsidP="0039304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On 25 January 2019, 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 xml:space="preserve">total of 28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f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 xml:space="preserve">amilies from Barangay </w:t>
            </w:r>
            <w:proofErr w:type="spellStart"/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Calundan</w:t>
            </w:r>
            <w:proofErr w:type="spellEnd"/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 xml:space="preserve"> and 38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f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amilies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from Barangay Bay-</w:t>
            </w:r>
            <w:proofErr w:type="spellStart"/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ang</w:t>
            </w:r>
            <w:proofErr w:type="spellEnd"/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 xml:space="preserve"> provided with the FFPs,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m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 xml:space="preserve">osquito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nets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 xml:space="preserve"> and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b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lankets by the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Provincial Action Team of Western Samar and some staff from the RROC.</w:t>
            </w:r>
          </w:p>
          <w:p w:rsidR="00393045" w:rsidRDefault="00393045" w:rsidP="0039304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Regional Resource Operation Section (RROS) is ready to dispatch the Food and Non-Food commodities whenever additional support to the affected families is needed.</w:t>
            </w:r>
          </w:p>
          <w:p w:rsidR="00393045" w:rsidRDefault="00393045" w:rsidP="0039304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DRMD PDO assigned in the Province of Western Samar is in close coordination with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t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he MSWDO and MDRRMO for any update in this incident.</w:t>
            </w:r>
          </w:p>
          <w:p w:rsidR="00393045" w:rsidRPr="00393045" w:rsidRDefault="00393045" w:rsidP="0039304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2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Disaster Response Information Management Section (DRIMS) is closely coordinating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393045">
              <w:rPr>
                <w:rFonts w:ascii="Arial" w:hAnsi="Arial" w:cs="Arial"/>
                <w:color w:val="0070C0"/>
                <w:sz w:val="20"/>
                <w:szCs w:val="24"/>
              </w:rPr>
              <w:t>with the PDO for any updates on the ground.</w:t>
            </w:r>
          </w:p>
        </w:tc>
      </w:tr>
    </w:tbl>
    <w:p w:rsidR="00470FE4" w:rsidRPr="00A61B90" w:rsidRDefault="00A61B90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bookmarkStart w:id="4" w:name="_3znysh7" w:colFirst="0" w:colLast="0"/>
      <w:bookmarkEnd w:id="4"/>
      <w:r>
        <w:rPr>
          <w:rFonts w:ascii="Arial" w:eastAsia="Arial" w:hAnsi="Arial" w:cs="Arial"/>
          <w:i/>
          <w:sz w:val="24"/>
          <w:szCs w:val="24"/>
        </w:rPr>
        <w:br/>
      </w:r>
      <w:r w:rsidR="00FC54C7" w:rsidRPr="00A61B90">
        <w:rPr>
          <w:rFonts w:ascii="Arial" w:eastAsia="Arial" w:hAnsi="Arial" w:cs="Arial"/>
          <w:i/>
          <w:sz w:val="20"/>
          <w:szCs w:val="24"/>
        </w:rPr>
        <w:t>*****</w:t>
      </w:r>
    </w:p>
    <w:p w:rsidR="00470FE4" w:rsidRPr="00A61B90" w:rsidRDefault="00FC54C7">
      <w:pPr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Disaster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Response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Operations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Monitoring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and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Information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Center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(DROMIC)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of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DSWD-DRMB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continues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to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closely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coordinate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with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the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DSWD-FO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="00BE55C1" w:rsidRPr="00A61B90">
        <w:rPr>
          <w:rFonts w:ascii="Arial" w:eastAsia="Arial" w:hAnsi="Arial" w:cs="Arial"/>
          <w:i/>
          <w:sz w:val="20"/>
          <w:szCs w:val="24"/>
        </w:rPr>
        <w:t>VIII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for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="002E75E9" w:rsidRPr="00A61B90">
        <w:rPr>
          <w:rFonts w:ascii="Arial" w:eastAsia="Arial" w:hAnsi="Arial" w:cs="Arial"/>
          <w:i/>
          <w:sz w:val="20"/>
          <w:szCs w:val="24"/>
        </w:rPr>
        <w:t>any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significant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disaster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response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updates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and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assistance</w:t>
      </w:r>
      <w:r w:rsidR="00A61B90" w:rsidRPr="00A61B90">
        <w:rPr>
          <w:rFonts w:ascii="Arial" w:eastAsia="Arial" w:hAnsi="Arial" w:cs="Arial"/>
          <w:i/>
          <w:sz w:val="20"/>
          <w:szCs w:val="24"/>
        </w:rPr>
        <w:t xml:space="preserve"> </w:t>
      </w:r>
      <w:r w:rsidRPr="00A61B90">
        <w:rPr>
          <w:rFonts w:ascii="Arial" w:eastAsia="Arial" w:hAnsi="Arial" w:cs="Arial"/>
          <w:i/>
          <w:sz w:val="20"/>
          <w:szCs w:val="24"/>
        </w:rPr>
        <w:t>provided.</w:t>
      </w:r>
    </w:p>
    <w:p w:rsidR="00A61B90" w:rsidRDefault="00A61B90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90C83" w:rsidRDefault="00290C83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90C83" w:rsidRPr="00561784" w:rsidRDefault="00290C83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Pr="00561784" w:rsidRDefault="00290C8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470FE4" w:rsidRPr="00561784" w:rsidRDefault="00FC54C7" w:rsidP="00B0487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561784">
        <w:rPr>
          <w:rFonts w:ascii="Arial" w:eastAsia="Arial" w:hAnsi="Arial" w:cs="Arial"/>
          <w:sz w:val="24"/>
          <w:szCs w:val="24"/>
        </w:rPr>
        <w:t>Releasing</w:t>
      </w:r>
      <w:r w:rsidR="00A61B90">
        <w:rPr>
          <w:rFonts w:ascii="Arial" w:eastAsia="Arial" w:hAnsi="Arial" w:cs="Arial"/>
          <w:sz w:val="24"/>
          <w:szCs w:val="24"/>
        </w:rPr>
        <w:t xml:space="preserve"> </w:t>
      </w:r>
      <w:r w:rsidRPr="00561784">
        <w:rPr>
          <w:rFonts w:ascii="Arial" w:eastAsia="Arial" w:hAnsi="Arial" w:cs="Arial"/>
          <w:sz w:val="24"/>
          <w:szCs w:val="24"/>
        </w:rPr>
        <w:t>Officer</w:t>
      </w:r>
    </w:p>
    <w:sectPr w:rsidR="00470FE4" w:rsidRPr="00561784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5B" w:rsidRDefault="0070195B">
      <w:pPr>
        <w:spacing w:after="0" w:line="240" w:lineRule="auto"/>
      </w:pPr>
      <w:r>
        <w:separator/>
      </w:r>
    </w:p>
  </w:endnote>
  <w:endnote w:type="continuationSeparator" w:id="0">
    <w:p w:rsidR="0070195B" w:rsidRDefault="0070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FF2C09" w:rsidRPr="00FF2C09" w:rsidRDefault="00991C57" w:rsidP="00FF2C09">
    <w:pP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42FA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42FA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FF2C09" w:rsidRPr="00FF2C09">
      <w:t xml:space="preserve"> </w:t>
    </w:r>
    <w:r w:rsidR="007D450C">
      <w:rPr>
        <w:sz w:val="16"/>
        <w:szCs w:val="16"/>
      </w:rPr>
      <w:t>DSWD DROMIC Report #</w:t>
    </w:r>
    <w:r w:rsidR="00853265">
      <w:rPr>
        <w:sz w:val="16"/>
        <w:szCs w:val="16"/>
      </w:rPr>
      <w:t>3</w:t>
    </w:r>
    <w:r w:rsidR="00FF2C09">
      <w:rPr>
        <w:sz w:val="16"/>
        <w:szCs w:val="16"/>
      </w:rPr>
      <w:t xml:space="preserve"> </w:t>
    </w:r>
    <w:r w:rsidR="00FF2C09" w:rsidRPr="00FF2C09">
      <w:rPr>
        <w:sz w:val="16"/>
        <w:szCs w:val="16"/>
      </w:rPr>
      <w:t>on the Armed</w:t>
    </w:r>
    <w:r w:rsidR="00FF2C09">
      <w:rPr>
        <w:sz w:val="16"/>
        <w:szCs w:val="16"/>
      </w:rPr>
      <w:t xml:space="preserve"> Conflict in San Jorge, Western Samar </w:t>
    </w:r>
    <w:r w:rsidR="007D450C">
      <w:rPr>
        <w:sz w:val="16"/>
        <w:szCs w:val="16"/>
      </w:rPr>
      <w:t xml:space="preserve">as of </w:t>
    </w:r>
    <w:r w:rsidR="00853265">
      <w:rPr>
        <w:sz w:val="16"/>
        <w:szCs w:val="16"/>
      </w:rPr>
      <w:t>12 February 2019, 6</w:t>
    </w:r>
    <w:r w:rsidR="00FF2C09" w:rsidRPr="00FF2C09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5B" w:rsidRDefault="0070195B">
      <w:pPr>
        <w:spacing w:after="0" w:line="240" w:lineRule="auto"/>
      </w:pPr>
      <w:r>
        <w:separator/>
      </w:r>
    </w:p>
  </w:footnote>
  <w:footnote w:type="continuationSeparator" w:id="0">
    <w:p w:rsidR="0070195B" w:rsidRDefault="0070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57" w:rsidRDefault="00991C57" w:rsidP="00D802A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6BFD595" wp14:editId="48719D2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1C57" w:rsidRDefault="00991C57" w:rsidP="00D802A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9A5D953" wp14:editId="7A8F12ED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1C57" w:rsidRDefault="00991C57" w:rsidP="00D802A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991C57" w:rsidRPr="00AC4062" w:rsidRDefault="00991C57" w:rsidP="00D80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B3F"/>
    <w:multiLevelType w:val="hybridMultilevel"/>
    <w:tmpl w:val="C2524018"/>
    <w:lvl w:ilvl="0" w:tplc="C9CC18AC">
      <w:start w:val="25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10E04BE"/>
    <w:multiLevelType w:val="hybridMultilevel"/>
    <w:tmpl w:val="A864B718"/>
    <w:lvl w:ilvl="0" w:tplc="DC02D39C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1813"/>
    <w:rsid w:val="00020218"/>
    <w:rsid w:val="00026032"/>
    <w:rsid w:val="000275EE"/>
    <w:rsid w:val="000346AC"/>
    <w:rsid w:val="00053538"/>
    <w:rsid w:val="00062634"/>
    <w:rsid w:val="000912AB"/>
    <w:rsid w:val="00133E70"/>
    <w:rsid w:val="0014053D"/>
    <w:rsid w:val="00162EFA"/>
    <w:rsid w:val="00192E00"/>
    <w:rsid w:val="001F205C"/>
    <w:rsid w:val="001F4B02"/>
    <w:rsid w:val="00213534"/>
    <w:rsid w:val="00286609"/>
    <w:rsid w:val="00290C83"/>
    <w:rsid w:val="002977DD"/>
    <w:rsid w:val="002E1F6A"/>
    <w:rsid w:val="002E75E9"/>
    <w:rsid w:val="00305FDF"/>
    <w:rsid w:val="00324769"/>
    <w:rsid w:val="00324E16"/>
    <w:rsid w:val="003702E8"/>
    <w:rsid w:val="00393045"/>
    <w:rsid w:val="00395CFD"/>
    <w:rsid w:val="003E3214"/>
    <w:rsid w:val="003F06EB"/>
    <w:rsid w:val="004455E3"/>
    <w:rsid w:val="00464B6C"/>
    <w:rsid w:val="00470FE4"/>
    <w:rsid w:val="0049732B"/>
    <w:rsid w:val="004B2B7C"/>
    <w:rsid w:val="004C01B9"/>
    <w:rsid w:val="00515F99"/>
    <w:rsid w:val="00561784"/>
    <w:rsid w:val="005D3DE1"/>
    <w:rsid w:val="0063022E"/>
    <w:rsid w:val="0065461E"/>
    <w:rsid w:val="00673CF3"/>
    <w:rsid w:val="006A657B"/>
    <w:rsid w:val="006C1555"/>
    <w:rsid w:val="006E3F82"/>
    <w:rsid w:val="0070195B"/>
    <w:rsid w:val="00736A7C"/>
    <w:rsid w:val="00785AFB"/>
    <w:rsid w:val="007A20F1"/>
    <w:rsid w:val="007D450C"/>
    <w:rsid w:val="007F1365"/>
    <w:rsid w:val="008022FA"/>
    <w:rsid w:val="00806141"/>
    <w:rsid w:val="008156C3"/>
    <w:rsid w:val="00842FAC"/>
    <w:rsid w:val="00853265"/>
    <w:rsid w:val="008E23AD"/>
    <w:rsid w:val="008F3C7A"/>
    <w:rsid w:val="008F7DE1"/>
    <w:rsid w:val="00910FAB"/>
    <w:rsid w:val="00912811"/>
    <w:rsid w:val="00922385"/>
    <w:rsid w:val="009246DE"/>
    <w:rsid w:val="00937C09"/>
    <w:rsid w:val="009616AC"/>
    <w:rsid w:val="00980B90"/>
    <w:rsid w:val="00981A7A"/>
    <w:rsid w:val="00991C57"/>
    <w:rsid w:val="009A4D3C"/>
    <w:rsid w:val="009B3E46"/>
    <w:rsid w:val="009C0DF1"/>
    <w:rsid w:val="009C56D9"/>
    <w:rsid w:val="009C7141"/>
    <w:rsid w:val="009D3205"/>
    <w:rsid w:val="00A61B90"/>
    <w:rsid w:val="00AA049E"/>
    <w:rsid w:val="00B0487B"/>
    <w:rsid w:val="00B057B2"/>
    <w:rsid w:val="00B40BA4"/>
    <w:rsid w:val="00B614D3"/>
    <w:rsid w:val="00B664AE"/>
    <w:rsid w:val="00B750B9"/>
    <w:rsid w:val="00B75382"/>
    <w:rsid w:val="00B950FF"/>
    <w:rsid w:val="00BC6864"/>
    <w:rsid w:val="00BC6B25"/>
    <w:rsid w:val="00BE55C1"/>
    <w:rsid w:val="00BF69C6"/>
    <w:rsid w:val="00C038FD"/>
    <w:rsid w:val="00C34052"/>
    <w:rsid w:val="00C72278"/>
    <w:rsid w:val="00C865F8"/>
    <w:rsid w:val="00C97971"/>
    <w:rsid w:val="00CA4B8C"/>
    <w:rsid w:val="00CE07C6"/>
    <w:rsid w:val="00D106FE"/>
    <w:rsid w:val="00D2697D"/>
    <w:rsid w:val="00D30B5C"/>
    <w:rsid w:val="00D75F80"/>
    <w:rsid w:val="00D802AD"/>
    <w:rsid w:val="00DD7D90"/>
    <w:rsid w:val="00DE4DAB"/>
    <w:rsid w:val="00E112A1"/>
    <w:rsid w:val="00E16729"/>
    <w:rsid w:val="00E16BC2"/>
    <w:rsid w:val="00E5600A"/>
    <w:rsid w:val="00E603B3"/>
    <w:rsid w:val="00E70127"/>
    <w:rsid w:val="00EC27E0"/>
    <w:rsid w:val="00EE7069"/>
    <w:rsid w:val="00EE740F"/>
    <w:rsid w:val="00EE7EC0"/>
    <w:rsid w:val="00EF7258"/>
    <w:rsid w:val="00F13111"/>
    <w:rsid w:val="00F457B0"/>
    <w:rsid w:val="00F50A3E"/>
    <w:rsid w:val="00F66FE9"/>
    <w:rsid w:val="00FC54C7"/>
    <w:rsid w:val="00FD571B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CBC1B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1F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Ma. Consuelo J. del Prado</cp:lastModifiedBy>
  <cp:revision>6</cp:revision>
  <dcterms:created xsi:type="dcterms:W3CDTF">2019-02-12T09:15:00Z</dcterms:created>
  <dcterms:modified xsi:type="dcterms:W3CDTF">2019-02-12T09:36:00Z</dcterms:modified>
</cp:coreProperties>
</file>