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#</w:t>
      </w:r>
      <w:r w:rsidR="0042451F">
        <w:rPr>
          <w:rFonts w:ascii="Arial" w:eastAsia="Arial" w:hAnsi="Arial" w:cs="Arial"/>
          <w:b/>
          <w:sz w:val="32"/>
          <w:szCs w:val="24"/>
        </w:rPr>
        <w:t>4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7E6D4B" w:rsidRDefault="001A2FE1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Flooding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and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Landslide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Incident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in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Davao</w:t>
      </w:r>
      <w:r w:rsidR="00694B22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Region</w:t>
      </w:r>
    </w:p>
    <w:p w:rsidR="00FB3CED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as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DA3C1D">
        <w:rPr>
          <w:rFonts w:ascii="Arial" w:eastAsia="Arial" w:hAnsi="Arial" w:cs="Arial"/>
          <w:sz w:val="24"/>
          <w:szCs w:val="24"/>
        </w:rPr>
        <w:t>0</w:t>
      </w:r>
      <w:r w:rsidR="0042451F">
        <w:rPr>
          <w:rFonts w:ascii="Arial" w:eastAsia="Arial" w:hAnsi="Arial" w:cs="Arial"/>
          <w:sz w:val="24"/>
          <w:szCs w:val="24"/>
        </w:rPr>
        <w:t>7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DA3C1D">
        <w:rPr>
          <w:rFonts w:ascii="Arial" w:eastAsia="Arial" w:hAnsi="Arial" w:cs="Arial"/>
          <w:sz w:val="24"/>
          <w:szCs w:val="24"/>
        </w:rPr>
        <w:t>February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>,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="00D14A50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DA3C1D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:rsid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:rsidR="00303562" w:rsidRPr="00303562" w:rsidRDefault="00303562" w:rsidP="00DA3C1D">
      <w:pPr>
        <w:tabs>
          <w:tab w:val="left" w:pos="2371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03562">
        <w:rPr>
          <w:rFonts w:ascii="Arial" w:hAnsi="Arial" w:cs="Arial"/>
          <w:sz w:val="24"/>
          <w:szCs w:val="24"/>
        </w:rPr>
        <w:t>On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uary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26,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2019,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Davao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been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experiencing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continuous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light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to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moderate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rainfall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brou</w:t>
      </w:r>
      <w:r w:rsidR="004F6DC5">
        <w:rPr>
          <w:rFonts w:ascii="Arial" w:hAnsi="Arial" w:cs="Arial"/>
          <w:sz w:val="24"/>
          <w:szCs w:val="24"/>
        </w:rPr>
        <w:t>ght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about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by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effects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Tail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End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Cold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Front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affecting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Mindana</w:t>
      </w:r>
      <w:r>
        <w:rPr>
          <w:rFonts w:ascii="Arial" w:hAnsi="Arial" w:cs="Arial"/>
          <w:sz w:val="24"/>
          <w:szCs w:val="24"/>
        </w:rPr>
        <w:t>o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prevailing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localized</w:t>
      </w:r>
      <w:r w:rsidR="0069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303562">
        <w:rPr>
          <w:rFonts w:ascii="Arial" w:hAnsi="Arial" w:cs="Arial"/>
          <w:sz w:val="24"/>
          <w:szCs w:val="24"/>
        </w:rPr>
        <w:t>hunderstorms.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This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weather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distu</w:t>
      </w:r>
      <w:r w:rsidR="004F6DC5">
        <w:rPr>
          <w:rFonts w:ascii="Arial" w:hAnsi="Arial" w:cs="Arial"/>
          <w:sz w:val="24"/>
          <w:szCs w:val="24"/>
        </w:rPr>
        <w:t>rbance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has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led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to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rising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="004F6DC5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water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levels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in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different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parts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of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the</w:t>
      </w:r>
      <w:r w:rsidR="00694B22">
        <w:rPr>
          <w:rFonts w:ascii="Arial" w:hAnsi="Arial" w:cs="Arial"/>
          <w:sz w:val="24"/>
          <w:szCs w:val="24"/>
        </w:rPr>
        <w:t xml:space="preserve"> </w:t>
      </w:r>
      <w:r w:rsidRPr="00303562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>.</w:t>
      </w:r>
    </w:p>
    <w:p w:rsidR="001A2FE1" w:rsidRPr="005D6574" w:rsidRDefault="001A2FE1" w:rsidP="005D657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FB1A27" w:rsidRPr="002F1245" w:rsidRDefault="00FB1A27" w:rsidP="00F777F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30007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total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of</w:t>
      </w:r>
      <w:r w:rsidR="005B22C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22C6" w:rsidRPr="005B22C6">
        <w:rPr>
          <w:rFonts w:ascii="Arial" w:eastAsia="Arial" w:hAnsi="Arial" w:cs="Arial"/>
          <w:b/>
          <w:color w:val="0070C0"/>
          <w:sz w:val="24"/>
          <w:szCs w:val="24"/>
        </w:rPr>
        <w:t xml:space="preserve">71,981 </w:t>
      </w:r>
      <w:r w:rsidR="000C0B07"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 w:rsidR="00694B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B22C6" w:rsidRPr="005B22C6">
        <w:rPr>
          <w:rFonts w:ascii="Arial" w:eastAsia="Arial" w:hAnsi="Arial" w:cs="Arial"/>
          <w:b/>
          <w:color w:val="0070C0"/>
          <w:sz w:val="24"/>
          <w:szCs w:val="24"/>
        </w:rPr>
        <w:t xml:space="preserve">300,902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00077" w:rsidRPr="0030007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B22C6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A7FD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5B22C6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694B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="00694B2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and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B22C6" w:rsidRPr="005B22C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694B22" w:rsidRPr="005B22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22C6">
        <w:rPr>
          <w:rFonts w:ascii="Arial" w:eastAsia="Arial" w:hAnsi="Arial" w:cs="Arial"/>
          <w:b/>
          <w:color w:val="0070C0"/>
          <w:sz w:val="24"/>
          <w:szCs w:val="24"/>
        </w:rPr>
        <w:t>pro</w:t>
      </w:r>
      <w:r w:rsidR="009B3148" w:rsidRPr="005B22C6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1A2FE1" w:rsidRPr="005B22C6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694B22" w:rsidRPr="0030007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color w:val="auto"/>
          <w:sz w:val="24"/>
          <w:szCs w:val="24"/>
        </w:rPr>
        <w:t>in</w:t>
      </w:r>
      <w:r w:rsidR="00694B22" w:rsidRPr="0030007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300077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694B22" w:rsidRPr="0030007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300077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694B22" w:rsidRPr="0030007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30007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30007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00077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Default="00FB1A27" w:rsidP="002A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3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"/>
        <w:gridCol w:w="6865"/>
        <w:gridCol w:w="1574"/>
        <w:gridCol w:w="1577"/>
        <w:gridCol w:w="1574"/>
        <w:gridCol w:w="1277"/>
        <w:gridCol w:w="1280"/>
      </w:tblGrid>
      <w:tr w:rsidR="005B22C6" w:rsidTr="005007B5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B22C6" w:rsidTr="005007B5">
        <w:trPr>
          <w:trHeight w:val="229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Provinces 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22C6" w:rsidTr="005007B5">
        <w:trPr>
          <w:trHeight w:val="229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B22C6" w:rsidTr="005007B5">
        <w:trPr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71,981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300,902 </w:t>
            </w:r>
          </w:p>
        </w:tc>
      </w:tr>
      <w:tr w:rsidR="005B22C6" w:rsidTr="005B22C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71,981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300,902 </w:t>
            </w:r>
          </w:p>
        </w:tc>
      </w:tr>
      <w:tr w:rsidR="005B22C6" w:rsidTr="005B22C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Compostella Valley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1,633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6,223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178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688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Laak (San Vicente)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775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353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Monkayo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591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2,482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Montevista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235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463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1,454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5B22C6" w:rsidTr="005B22C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64,436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265,458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Asuncion (Saug)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20,432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101,285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Braulio E. Dujali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5,050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25,250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Carmen</w:t>
            </w:r>
            <w:bookmarkStart w:id="4" w:name="_GoBack"/>
            <w:bookmarkEnd w:id="4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7,290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36,450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Kapalong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805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2,621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7,391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36,757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380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16,355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28,125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Tagum (capital)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6,880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34,400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Talaingod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190 </w:t>
            </w:r>
          </w:p>
        </w:tc>
      </w:tr>
      <w:tr w:rsidR="005B22C6" w:rsidTr="005B22C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1,293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6,126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1,293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6,126 </w:t>
            </w:r>
          </w:p>
        </w:tc>
      </w:tr>
      <w:tr w:rsidR="005B22C6" w:rsidTr="005B22C6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4,619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23,095 </w:t>
            </w:r>
          </w:p>
        </w:tc>
      </w:tr>
      <w:tr w:rsidR="005B22C6" w:rsidTr="005B22C6">
        <w:trPr>
          <w:trHeight w:val="20"/>
        </w:trPr>
        <w:tc>
          <w:tcPr>
            <w:tcW w:w="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2C6" w:rsidRDefault="005B22C6" w:rsidP="005B2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4,619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C6" w:rsidRDefault="005B22C6" w:rsidP="005B22C6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23,095 </w:t>
            </w:r>
          </w:p>
        </w:tc>
      </w:tr>
    </w:tbl>
    <w:p w:rsidR="00A331D7" w:rsidRPr="00A331D7" w:rsidRDefault="00694B22" w:rsidP="005B2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94B22">
        <w:rPr>
          <w:rFonts w:ascii="Arial" w:eastAsia="Arial" w:hAnsi="Arial" w:cs="Arial"/>
          <w:i/>
          <w:color w:val="auto"/>
          <w:sz w:val="16"/>
          <w:szCs w:val="24"/>
        </w:rPr>
        <w:t>Note: Ongoing assessment and validation.</w:t>
      </w:r>
    </w:p>
    <w:p w:rsidR="000C0B07" w:rsidRPr="00A331D7" w:rsidRDefault="00EB25D6" w:rsidP="00A331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Source</w:t>
      </w:r>
      <w:r w:rsidR="00492810" w:rsidRPr="002F1245">
        <w:rPr>
          <w:rFonts w:ascii="Arial" w:eastAsia="Arial" w:hAnsi="Arial" w:cs="Arial"/>
          <w:i/>
          <w:color w:val="002060"/>
          <w:sz w:val="16"/>
          <w:szCs w:val="24"/>
        </w:rPr>
        <w:t>: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MSWDO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A331D7">
        <w:rPr>
          <w:rFonts w:ascii="Arial" w:eastAsia="Arial" w:hAnsi="Arial" w:cs="Arial"/>
          <w:i/>
          <w:color w:val="002060"/>
          <w:sz w:val="16"/>
          <w:szCs w:val="24"/>
        </w:rPr>
        <w:t>DSWD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A331D7">
        <w:rPr>
          <w:rFonts w:ascii="Arial" w:eastAsia="Arial" w:hAnsi="Arial" w:cs="Arial"/>
          <w:i/>
          <w:color w:val="002060"/>
          <w:sz w:val="16"/>
          <w:szCs w:val="24"/>
        </w:rPr>
        <w:t>FO-XI</w:t>
      </w:r>
    </w:p>
    <w:p w:rsidR="00492810" w:rsidRDefault="0049281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B1A27" w:rsidRPr="002F1245" w:rsidRDefault="00FB1A27" w:rsidP="00F777F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F6DC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>EC</w:t>
      </w:r>
      <w:r w:rsid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0C0B07" w:rsidRPr="002F1245" w:rsidRDefault="000C0B0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C0B07" w:rsidRDefault="00FB1A27" w:rsidP="00EE1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Inside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4F6DC5">
        <w:rPr>
          <w:rFonts w:ascii="Arial" w:eastAsia="Arial" w:hAnsi="Arial" w:cs="Arial"/>
          <w:b/>
          <w:i/>
          <w:sz w:val="20"/>
          <w:szCs w:val="24"/>
        </w:rPr>
        <w:t>and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32" w:type="pct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"/>
        <w:gridCol w:w="2349"/>
        <w:gridCol w:w="638"/>
        <w:gridCol w:w="727"/>
        <w:gridCol w:w="609"/>
        <w:gridCol w:w="609"/>
        <w:gridCol w:w="609"/>
        <w:gridCol w:w="618"/>
        <w:gridCol w:w="713"/>
        <w:gridCol w:w="704"/>
        <w:gridCol w:w="609"/>
        <w:gridCol w:w="615"/>
        <w:gridCol w:w="707"/>
        <w:gridCol w:w="712"/>
        <w:gridCol w:w="713"/>
        <w:gridCol w:w="704"/>
        <w:gridCol w:w="609"/>
        <w:gridCol w:w="615"/>
        <w:gridCol w:w="707"/>
        <w:gridCol w:w="695"/>
      </w:tblGrid>
      <w:tr w:rsidR="00B17537" w:rsidTr="005007B5">
        <w:trPr>
          <w:trHeight w:val="20"/>
          <w:tblHeader/>
        </w:trPr>
        <w:tc>
          <w:tcPr>
            <w:tcW w:w="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5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2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SERVED </w:t>
            </w:r>
          </w:p>
        </w:tc>
      </w:tr>
      <w:tr w:rsidR="00B17537" w:rsidTr="005007B5">
        <w:trPr>
          <w:trHeight w:val="20"/>
          <w:tblHeader/>
        </w:trPr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79E2" w:rsidTr="005007B5">
        <w:trPr>
          <w:trHeight w:val="20"/>
          <w:tblHeader/>
        </w:trPr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Families 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Persons 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Families 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Persons 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Families </w:t>
            </w:r>
          </w:p>
        </w:tc>
        <w:tc>
          <w:tcPr>
            <w:tcW w:w="4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Persons </w:t>
            </w:r>
          </w:p>
        </w:tc>
      </w:tr>
      <w:tr w:rsidR="002D79E2" w:rsidTr="005007B5">
        <w:trPr>
          <w:trHeight w:val="20"/>
          <w:tblHeader/>
        </w:trPr>
        <w:tc>
          <w:tcPr>
            <w:tcW w:w="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17537" w:rsidTr="005007B5">
        <w:trPr>
          <w:trHeight w:val="20"/>
          <w:tblHeader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5,329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24,072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5,329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24,072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66,799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274,950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66,799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274,950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72,128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299,022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B17537" w:rsidTr="005007B5">
        <w:trPr>
          <w:trHeight w:val="20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5,329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24,072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5,329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24,072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66,799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274,950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66,799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274,950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72,128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299,022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B17537" w:rsidTr="005007B5">
        <w:trPr>
          <w:trHeight w:val="20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Compostella Valley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1,146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3,603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1,146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3,603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723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3,010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723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3,010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1,869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6,613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178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688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178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688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305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239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993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Laak (San Vicente)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775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Mawab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353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Monkayo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1,238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1,238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1,244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332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1,244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923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2,482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Montevista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245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1,206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1,206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323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323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1,529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New Bataan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17537" w:rsidTr="005007B5">
        <w:trPr>
          <w:trHeight w:val="20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2,890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14,343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2,890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14,343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61,457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248,845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61,457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248,845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64,347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263,188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Asuncion (Saug)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1,545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1,545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19,494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97,470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19,494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97,470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19,803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99,015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Braulio E. Dujali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4,978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24,890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4,978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24,890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5,050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25,250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7,258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36,290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7,258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36,290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7,290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36,450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Kapalong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716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2,265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716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2,265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805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2,621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2,365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11,827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2,365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11,827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5,566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24,930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5,566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24,930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7,931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36,757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340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16,355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28,125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16,355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28,125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16,355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28,125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Tagum (capital)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6,880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34,400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6,880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34,400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6,880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34,400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Talaingod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17537" w:rsidTr="005007B5">
        <w:trPr>
          <w:trHeight w:val="20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6,126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6,126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6,126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1,293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6,126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1,293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6,126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1,293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6,126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B17537" w:rsidTr="005007B5">
        <w:trPr>
          <w:trHeight w:val="20"/>
        </w:trPr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4,619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23,095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4,619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23,095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4,619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23,095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2D79E2" w:rsidTr="005007B5">
        <w:trPr>
          <w:trHeight w:val="20"/>
        </w:trPr>
        <w:tc>
          <w:tcPr>
            <w:tcW w:w="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4,619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23,095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4,619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23,095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4,619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23,095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537" w:rsidRDefault="00B17537" w:rsidP="00B17537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4F6DC5" w:rsidRDefault="00694B22" w:rsidP="00B175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EB25D6">
        <w:rPr>
          <w:rFonts w:ascii="Arial" w:eastAsia="Arial" w:hAnsi="Arial" w:cs="Arial"/>
          <w:i/>
          <w:color w:val="002060"/>
          <w:sz w:val="16"/>
          <w:szCs w:val="24"/>
        </w:rPr>
        <w:t>MSWDO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EB25D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</w:t>
      </w:r>
      <w:r w:rsidR="00694B2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FO-XI</w:t>
      </w:r>
    </w:p>
    <w:p w:rsidR="00694B22" w:rsidRPr="00694B22" w:rsidRDefault="00694B22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94B22" w:rsidRDefault="00A331D7" w:rsidP="00694B2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694B22" w:rsidRPr="00694B2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(see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Table</w:t>
      </w:r>
      <w:r w:rsidR="00694B22" w:rsidRPr="00694B2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94B22">
        <w:rPr>
          <w:rFonts w:ascii="Arial" w:eastAsia="Arial" w:hAnsi="Arial" w:cs="Arial"/>
          <w:color w:val="auto"/>
          <w:sz w:val="24"/>
          <w:szCs w:val="24"/>
        </w:rPr>
        <w:t>3)</w:t>
      </w:r>
    </w:p>
    <w:p w:rsidR="00694B22" w:rsidRDefault="00694B22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F6DC5" w:rsidRDefault="004F6DC5" w:rsidP="00694B2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>Table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3.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94B22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</w:t>
      </w:r>
      <w:r w:rsidR="00694B22" w:rsidRPr="00694B2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42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7255"/>
        <w:gridCol w:w="1521"/>
        <w:gridCol w:w="2572"/>
        <w:gridCol w:w="2875"/>
      </w:tblGrid>
      <w:tr w:rsidR="002D79E2" w:rsidTr="002D79E2">
        <w:trPr>
          <w:trHeight w:val="20"/>
        </w:trPr>
        <w:tc>
          <w:tcPr>
            <w:tcW w:w="25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0B7F46" w:rsidTr="002D79E2">
        <w:trPr>
          <w:trHeight w:val="20"/>
        </w:trPr>
        <w:tc>
          <w:tcPr>
            <w:tcW w:w="25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B7F46" w:rsidTr="002D79E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B7F46" w:rsidTr="002D79E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B7F46" w:rsidTr="002D79E2">
        <w:trPr>
          <w:trHeight w:val="20"/>
        </w:trPr>
        <w:tc>
          <w:tcPr>
            <w:tcW w:w="2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Compostella Valley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8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2D79E2" w:rsidTr="002D79E2">
        <w:trPr>
          <w:trHeight w:val="20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Monkayo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2D79E2" w:rsidTr="002D79E2">
        <w:trPr>
          <w:trHeight w:val="20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Montevista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2D79E2" w:rsidTr="002D79E2">
        <w:trPr>
          <w:trHeight w:val="20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Nabunturan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9E2" w:rsidRPr="000B7F46" w:rsidRDefault="002D79E2" w:rsidP="002D79E2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:rsidR="00694B22" w:rsidRDefault="00694B22" w:rsidP="002D7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492810" w:rsidRDefault="00694B22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MSWDO through DSWD FO-XI</w:t>
      </w:r>
    </w:p>
    <w:p w:rsidR="005007B5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007B5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007B5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5007B5" w:rsidRPr="002D79E2" w:rsidRDefault="005007B5" w:rsidP="002D79E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6A74C0" w:rsidRDefault="006A74C0" w:rsidP="006A74C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Assistance Provided </w:t>
      </w:r>
      <w:r w:rsidRPr="00694B22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eastAsia="Arial" w:hAnsi="Arial" w:cs="Arial"/>
          <w:color w:val="auto"/>
          <w:sz w:val="24"/>
          <w:szCs w:val="24"/>
        </w:rPr>
        <w:t>4</w:t>
      </w:r>
      <w:r w:rsidRPr="00694B22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6A74C0" w:rsidRDefault="006A74C0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6A74C0" w:rsidRDefault="006A74C0" w:rsidP="006A74C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Pr="006A74C0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749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"/>
        <w:gridCol w:w="6777"/>
        <w:gridCol w:w="1434"/>
        <w:gridCol w:w="1434"/>
        <w:gridCol w:w="1434"/>
        <w:gridCol w:w="1434"/>
        <w:gridCol w:w="1431"/>
      </w:tblGrid>
      <w:tr w:rsidR="000B7F46" w:rsidTr="000B7F46">
        <w:trPr>
          <w:trHeight w:val="20"/>
        </w:trPr>
        <w:tc>
          <w:tcPr>
            <w:tcW w:w="2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B7F46" w:rsidTr="000B7F46">
        <w:trPr>
          <w:trHeight w:val="57"/>
        </w:trPr>
        <w:tc>
          <w:tcPr>
            <w:tcW w:w="2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B7F46" w:rsidTr="000B7F46">
        <w:trPr>
          <w:trHeight w:val="57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5,832,950.00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2,663,539.81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8,496,489.81 </w:t>
            </w:r>
          </w:p>
        </w:tc>
      </w:tr>
      <w:tr w:rsidR="000B7F46" w:rsidTr="000B7F46">
        <w:trPr>
          <w:trHeight w:val="57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5,832,950.00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2,663,539.81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8,496,489.81 </w:t>
            </w:r>
          </w:p>
        </w:tc>
      </w:tr>
      <w:tr w:rsidR="000B7F46" w:rsidTr="000B7F46">
        <w:trPr>
          <w:trHeight w:val="57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5,110,150.00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2,442,000.00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7,552,150.00 </w:t>
            </w:r>
          </w:p>
        </w:tc>
      </w:tr>
      <w:tr w:rsidR="000B7F46" w:rsidTr="000B7F46">
        <w:trPr>
          <w:trHeight w:val="57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Braulio E. Dujali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1,498,810.00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1,498,810.00 </w:t>
            </w:r>
          </w:p>
        </w:tc>
      </w:tr>
      <w:tr w:rsidR="000B7F46" w:rsidTr="000B7F46">
        <w:trPr>
          <w:trHeight w:val="57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1,498,150.00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1,498,150.00 </w:t>
            </w:r>
          </w:p>
        </w:tc>
      </w:tr>
      <w:tr w:rsidR="000B7F46" w:rsidTr="000B7F46">
        <w:trPr>
          <w:trHeight w:val="57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1,210,690.00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1,210,690.00 </w:t>
            </w:r>
          </w:p>
        </w:tc>
      </w:tr>
      <w:tr w:rsidR="000B7F46" w:rsidTr="000B7F46">
        <w:trPr>
          <w:trHeight w:val="57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City of Tagum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902,500.00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331,036.50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1,233,536.50 </w:t>
            </w:r>
          </w:p>
        </w:tc>
      </w:tr>
      <w:tr w:rsidR="000B7F46" w:rsidTr="000B7F46">
        <w:trPr>
          <w:trHeight w:val="57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722,800.00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722,800.00 </w:t>
            </w:r>
          </w:p>
        </w:tc>
      </w:tr>
      <w:tr w:rsidR="000B7F46" w:rsidTr="000B7F46">
        <w:trPr>
          <w:trHeight w:val="57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Boston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722,800.00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46" w:rsidRPr="000B7F46" w:rsidRDefault="000B7F46" w:rsidP="000B7F4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722,800.00 </w:t>
            </w:r>
          </w:p>
        </w:tc>
      </w:tr>
    </w:tbl>
    <w:p w:rsidR="000B7F46" w:rsidRDefault="000B7F46" w:rsidP="000B7F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:rsidR="000B7F46" w:rsidRDefault="000B7F46" w:rsidP="000B7F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MSWDO through DSWD FO-XI</w:t>
      </w:r>
    </w:p>
    <w:p w:rsidR="000B7F46" w:rsidRDefault="000B7F46" w:rsidP="000B7F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56960" w:rsidRPr="00694B22" w:rsidRDefault="00756960" w:rsidP="00694B2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</w:t>
      </w:r>
      <w:r w:rsidR="00694B22"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32"/>
        <w:gridCol w:w="1213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694B2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B3CED" w:rsidRPr="00694B22" w:rsidTr="00542BC5">
        <w:trPr>
          <w:trHeight w:val="55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694B22" w:rsidRDefault="00694B22" w:rsidP="000B7F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94B22">
              <w:rPr>
                <w:rFonts w:ascii="Arial" w:hAnsi="Arial" w:cs="Arial"/>
                <w:color w:val="auto"/>
                <w:sz w:val="20"/>
                <w:szCs w:val="24"/>
              </w:rPr>
              <w:t>0</w:t>
            </w:r>
            <w:r w:rsidR="000B7F46">
              <w:rPr>
                <w:rFonts w:ascii="Arial" w:hAnsi="Arial" w:cs="Arial"/>
                <w:color w:val="auto"/>
                <w:sz w:val="20"/>
                <w:szCs w:val="24"/>
              </w:rPr>
              <w:t>7</w:t>
            </w:r>
            <w:r w:rsidRPr="00694B22">
              <w:rPr>
                <w:rFonts w:ascii="Arial" w:hAnsi="Arial" w:cs="Arial"/>
                <w:color w:val="auto"/>
                <w:sz w:val="20"/>
                <w:szCs w:val="24"/>
              </w:rPr>
              <w:t xml:space="preserve"> February </w:t>
            </w:r>
            <w:r w:rsidR="00E806EC" w:rsidRPr="00694B22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694B22" w:rsidRDefault="00FB3CED" w:rsidP="00F777F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9" w:hanging="269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ting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0356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94B22"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94B2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56677B" w:rsidRDefault="0056677B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C5DF3" w:rsidRDefault="005C5DF3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F51D5" w:rsidRDefault="00694B22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 w:rsidR="007B6A65"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12087"/>
      </w:tblGrid>
      <w:tr w:rsidR="007B6A65" w:rsidRPr="002345FE" w:rsidTr="00F42E4A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 w:rsidR="00694B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7B6A65" w:rsidRPr="002345FE" w:rsidTr="00F42E4A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694B22" w:rsidRDefault="00694B22" w:rsidP="000B7F4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</w:t>
            </w:r>
            <w:r w:rsidR="000B7F46">
              <w:rPr>
                <w:rFonts w:ascii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February </w:t>
            </w:r>
            <w:r w:rsidR="00303562" w:rsidRPr="00694B22">
              <w:rPr>
                <w:rFonts w:ascii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4A" w:rsidRDefault="00DE0FDE" w:rsidP="00F777F7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Provision of 5,000 FFPs to the affected families in B.E. Dujali and Tagum City, Davao del Norte last 28 January 2019.</w:t>
            </w:r>
          </w:p>
          <w:p w:rsidR="00756960" w:rsidRDefault="00DE0FDE" w:rsidP="0075696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Distribution of 4,150 FFPs in Carmen, Davao del Norte from 29-31 January 2019.</w:t>
            </w:r>
          </w:p>
          <w:p w:rsidR="00DE0FDE" w:rsidRDefault="00DE0FDE" w:rsidP="0075696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Provided 2,000 FFPs to the affected families in Boston, Davao Oriental on 04 February 2019.</w:t>
            </w:r>
          </w:p>
          <w:p w:rsidR="00DE0FDE" w:rsidRDefault="00DE0FDE" w:rsidP="0075696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Provided 3,350 FFPs to the affecte families in Sto. Tomas, Davao del Norte and 1,650 FFPs in B.E. Dujali, Davao del Norte on 05 February 2019</w:t>
            </w:r>
          </w:p>
          <w:p w:rsidR="00DE0FDE" w:rsidRDefault="00DE0FDE" w:rsidP="0075696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On 11 February 2019, a relief distribution is set to be conducted in the affected municipalities of Compostela Valley Province where 3,000 FFPs will be provided to</w:t>
            </w:r>
            <w:r w:rsidR="00016A0D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families.</w:t>
            </w:r>
          </w:p>
          <w:p w:rsidR="00756960" w:rsidRPr="00F42E4A" w:rsidRDefault="00756960" w:rsidP="00756960">
            <w:pPr>
              <w:pStyle w:val="ListParagraph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7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XI is continuously coordinating with the affected LGUs for augmentation of relief assistance.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3152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Operations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Monitoring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Information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Center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(DROMIC)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of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DSWD-DRMB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is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closely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coordinating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with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the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>
        <w:rPr>
          <w:rFonts w:ascii="Arial" w:eastAsia="Arial" w:hAnsi="Arial" w:cs="Arial"/>
          <w:i/>
          <w:sz w:val="20"/>
          <w:szCs w:val="24"/>
        </w:rPr>
        <w:t>concerned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DSWD-Field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Office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="00315248">
        <w:rPr>
          <w:rFonts w:ascii="Arial" w:eastAsia="Arial" w:hAnsi="Arial" w:cs="Arial"/>
          <w:i/>
          <w:sz w:val="20"/>
          <w:szCs w:val="24"/>
        </w:rPr>
        <w:t>XI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any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significant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disaster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preparedness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for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response</w:t>
      </w:r>
      <w:r w:rsidR="00694B22">
        <w:rPr>
          <w:rFonts w:ascii="Arial" w:eastAsia="Arial" w:hAnsi="Arial" w:cs="Arial"/>
          <w:i/>
          <w:sz w:val="20"/>
          <w:szCs w:val="24"/>
        </w:rPr>
        <w:t xml:space="preserve"> </w:t>
      </w:r>
      <w:r w:rsidRPr="0043209E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5C5DF3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 w:rsidR="00694B22"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</w:p>
    <w:sectPr w:rsidR="00D60185" w:rsidRPr="00857415" w:rsidSect="001A2FE1">
      <w:headerReference w:type="default" r:id="rId9"/>
      <w:footerReference w:type="default" r:id="rId10"/>
      <w:pgSz w:w="16839" w:h="11907" w:orient="landscape" w:code="9"/>
      <w:pgMar w:top="720" w:right="1246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D6" w:rsidRDefault="009840D6">
      <w:pPr>
        <w:spacing w:after="0" w:line="240" w:lineRule="auto"/>
      </w:pPr>
      <w:r>
        <w:separator/>
      </w:r>
    </w:p>
  </w:endnote>
  <w:endnote w:type="continuationSeparator" w:id="0">
    <w:p w:rsidR="009840D6" w:rsidRDefault="0098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46" w:rsidRPr="00616ED8" w:rsidRDefault="000B7F46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0B7F46" w:rsidRDefault="000B7F46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007B5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007B5">
      <w:rPr>
        <w:rFonts w:asciiTheme="majorHAnsi" w:hAnsiTheme="majorHAnsi" w:cstheme="majorHAnsi"/>
        <w:b/>
        <w:noProof/>
        <w:sz w:val="16"/>
        <w:szCs w:val="16"/>
      </w:rPr>
      <w:t>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4 on Flooding and Landslide Incident in Davao Region</w:t>
    </w:r>
    <w:r w:rsidRPr="00FB3CED">
      <w:rPr>
        <w:rFonts w:ascii="Arial" w:eastAsia="Arial" w:hAnsi="Arial" w:cs="Arial"/>
        <w:sz w:val="16"/>
        <w:szCs w:val="16"/>
      </w:rPr>
      <w:t xml:space="preserve"> as of </w:t>
    </w:r>
    <w:r>
      <w:rPr>
        <w:rFonts w:ascii="Arial" w:eastAsia="Arial" w:hAnsi="Arial" w:cs="Arial"/>
        <w:sz w:val="16"/>
        <w:szCs w:val="16"/>
      </w:rPr>
      <w:t xml:space="preserve">07 February 2019, </w:t>
    </w:r>
    <w:r w:rsidR="00D14A50">
      <w:rPr>
        <w:rFonts w:ascii="Arial" w:eastAsia="Arial" w:hAnsi="Arial" w:cs="Arial"/>
        <w:sz w:val="16"/>
        <w:szCs w:val="16"/>
      </w:rPr>
      <w:t>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D6" w:rsidRDefault="009840D6">
      <w:pPr>
        <w:spacing w:after="0" w:line="240" w:lineRule="auto"/>
      </w:pPr>
      <w:r>
        <w:separator/>
      </w:r>
    </w:p>
  </w:footnote>
  <w:footnote w:type="continuationSeparator" w:id="0">
    <w:p w:rsidR="009840D6" w:rsidRDefault="0098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46" w:rsidRDefault="000B7F4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97FC6C" wp14:editId="7EBB8629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F46" w:rsidRDefault="000B7F46" w:rsidP="004F6DC5">
    <w:pPr>
      <w:tabs>
        <w:tab w:val="left" w:pos="4680"/>
      </w:tabs>
      <w:spacing w:after="0" w:line="240" w:lineRule="auto"/>
    </w:pPr>
    <w:r>
      <w:rPr>
        <w:noProof/>
      </w:rPr>
      <w:drawing>
        <wp:inline distT="0" distB="0" distL="0" distR="0" wp14:anchorId="427DA34E" wp14:editId="68EECFE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7F46" w:rsidRDefault="000B7F46" w:rsidP="00CA2787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2152"/>
      </w:tabs>
    </w:pPr>
  </w:p>
  <w:p w:rsidR="000B7F46" w:rsidRPr="006A0C8C" w:rsidRDefault="000B7F46" w:rsidP="00CA2787">
    <w:pPr>
      <w:pStyle w:val="Header"/>
      <w:pBdr>
        <w:top w:val="none" w:sz="0" w:space="0" w:color="auto"/>
      </w:pBdr>
      <w:tabs>
        <w:tab w:val="clear" w:pos="4680"/>
        <w:tab w:val="clear" w:pos="9360"/>
        <w:tab w:val="left" w:pos="21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16A0D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B7F46"/>
    <w:rsid w:val="000C0B07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6DE1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2FE1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1276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A7FDA"/>
    <w:rsid w:val="002B32EE"/>
    <w:rsid w:val="002B4410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3418"/>
    <w:rsid w:val="002D5B1A"/>
    <w:rsid w:val="002D79E2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077"/>
    <w:rsid w:val="00300D14"/>
    <w:rsid w:val="00303562"/>
    <w:rsid w:val="0030388B"/>
    <w:rsid w:val="00303F32"/>
    <w:rsid w:val="00305764"/>
    <w:rsid w:val="00305A3D"/>
    <w:rsid w:val="00310DED"/>
    <w:rsid w:val="00312F64"/>
    <w:rsid w:val="0031373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451F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3FA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4F6DC5"/>
    <w:rsid w:val="005007B5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2BC5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22C6"/>
    <w:rsid w:val="005B6532"/>
    <w:rsid w:val="005B7B98"/>
    <w:rsid w:val="005B7F2C"/>
    <w:rsid w:val="005C089E"/>
    <w:rsid w:val="005C25C9"/>
    <w:rsid w:val="005C4BD6"/>
    <w:rsid w:val="005C4E14"/>
    <w:rsid w:val="005C5DF3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4B22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A74C0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607"/>
    <w:rsid w:val="00746E5E"/>
    <w:rsid w:val="00747110"/>
    <w:rsid w:val="00747259"/>
    <w:rsid w:val="00747E0E"/>
    <w:rsid w:val="007507FD"/>
    <w:rsid w:val="00751C9A"/>
    <w:rsid w:val="00752F0C"/>
    <w:rsid w:val="00755148"/>
    <w:rsid w:val="00756960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017B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1B20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0D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1D7"/>
    <w:rsid w:val="00A3323E"/>
    <w:rsid w:val="00A33952"/>
    <w:rsid w:val="00A33B36"/>
    <w:rsid w:val="00A360D4"/>
    <w:rsid w:val="00A3643A"/>
    <w:rsid w:val="00A37D54"/>
    <w:rsid w:val="00A412B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1ED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537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06C7A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A50"/>
    <w:rsid w:val="00D14F03"/>
    <w:rsid w:val="00D159E2"/>
    <w:rsid w:val="00D165DC"/>
    <w:rsid w:val="00D16BFC"/>
    <w:rsid w:val="00D174D7"/>
    <w:rsid w:val="00D21BE0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3C1D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D68F3"/>
    <w:rsid w:val="00DE0378"/>
    <w:rsid w:val="00DE0FDE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5D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5A55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1AF9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2E4A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777F7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31D7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414C-F571-4EDF-A0EC-8D0B4927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2</cp:revision>
  <dcterms:created xsi:type="dcterms:W3CDTF">2019-02-07T08:06:00Z</dcterms:created>
  <dcterms:modified xsi:type="dcterms:W3CDTF">2019-02-07T08:06:00Z</dcterms:modified>
</cp:coreProperties>
</file>