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77777777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F53512" w:rsidRPr="00C431B1">
        <w:rPr>
          <w:rFonts w:ascii="Arial" w:eastAsia="Arial" w:hAnsi="Arial" w:cs="Arial"/>
          <w:b/>
          <w:sz w:val="32"/>
          <w:szCs w:val="24"/>
        </w:rPr>
        <w:t>2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211E4B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San Jose de </w:t>
      </w:r>
      <w:proofErr w:type="spellStart"/>
      <w:r w:rsidR="001E404B" w:rsidRPr="00C431B1">
        <w:rPr>
          <w:rFonts w:ascii="Arial" w:eastAsia="Arial" w:hAnsi="Arial" w:cs="Arial"/>
          <w:b/>
          <w:sz w:val="32"/>
          <w:szCs w:val="24"/>
        </w:rPr>
        <w:t>Buan</w:t>
      </w:r>
      <w:proofErr w:type="spellEnd"/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, 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Western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>Samar</w:t>
      </w:r>
    </w:p>
    <w:p w14:paraId="2C71C05E" w14:textId="50111273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F53512" w:rsidRPr="00C431B1">
        <w:rPr>
          <w:rFonts w:ascii="Arial" w:eastAsia="Arial" w:hAnsi="Arial" w:cs="Arial"/>
          <w:sz w:val="24"/>
          <w:szCs w:val="24"/>
        </w:rPr>
        <w:t>21</w:t>
      </w:r>
      <w:r w:rsidRPr="00C431B1">
        <w:rPr>
          <w:rFonts w:ascii="Arial" w:eastAsia="Arial" w:hAnsi="Arial" w:cs="Arial"/>
          <w:sz w:val="24"/>
          <w:szCs w:val="24"/>
        </w:rPr>
        <w:t xml:space="preserve"> March 2019, </w:t>
      </w:r>
      <w:r w:rsidR="00F53512" w:rsidRPr="00C431B1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C431B1" w:rsidRDefault="00046FA7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431B1" w:rsidRDefault="00D10EA4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4924FC99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 March 2019</w:t>
      </w:r>
      <w:r w:rsidRPr="00C431B1">
        <w:rPr>
          <w:rFonts w:ascii="Arial" w:eastAsia="Arial" w:hAnsi="Arial" w:cs="Arial"/>
          <w:sz w:val="24"/>
          <w:szCs w:val="24"/>
        </w:rPr>
        <w:t xml:space="preserve"> at 2:58 PM, 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the Disaster Response Management Division (DRMD) has received the incident report from MSWDO San Jose de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 regardin</w:t>
      </w:r>
      <w:r w:rsidR="00662AEB" w:rsidRPr="00C431B1">
        <w:rPr>
          <w:rFonts w:ascii="Arial" w:eastAsia="Arial" w:hAnsi="Arial" w:cs="Arial"/>
          <w:sz w:val="24"/>
          <w:szCs w:val="24"/>
        </w:rPr>
        <w:t>g the 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going armed conflict affecting some of the barangays in their locality. It was reported that the incident happened in </w:t>
      </w:r>
      <w:proofErr w:type="spellStart"/>
      <w:r w:rsidR="00662AEB" w:rsidRPr="00C431B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662AEB" w:rsidRPr="00C431B1">
        <w:rPr>
          <w:rFonts w:ascii="Arial" w:eastAsia="Arial" w:hAnsi="Arial" w:cs="Arial"/>
          <w:sz w:val="24"/>
          <w:szCs w:val="24"/>
        </w:rPr>
        <w:t>.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Hagbay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, San Jose de </w:t>
      </w:r>
      <w:proofErr w:type="spellStart"/>
      <w:r w:rsidR="00BD1919"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="00BD1919" w:rsidRPr="00C431B1">
        <w:rPr>
          <w:rFonts w:ascii="Arial" w:eastAsia="Arial" w:hAnsi="Arial" w:cs="Arial"/>
          <w:sz w:val="24"/>
          <w:szCs w:val="24"/>
        </w:rPr>
        <w:t xml:space="preserve">, Western Samar on </w:t>
      </w:r>
      <w:r w:rsidRPr="00C431B1">
        <w:rPr>
          <w:rFonts w:ascii="Arial" w:eastAsia="Arial" w:hAnsi="Arial" w:cs="Arial"/>
          <w:sz w:val="24"/>
          <w:szCs w:val="24"/>
        </w:rPr>
        <w:t xml:space="preserve">08 March 2019 </w:t>
      </w:r>
      <w:r w:rsidR="00BD1919" w:rsidRPr="00C431B1">
        <w:rPr>
          <w:rFonts w:ascii="Arial" w:eastAsia="Arial" w:hAnsi="Arial" w:cs="Arial"/>
          <w:sz w:val="24"/>
          <w:szCs w:val="24"/>
        </w:rPr>
        <w:t>at about 8:00 PM.</w:t>
      </w:r>
    </w:p>
    <w:p w14:paraId="65E811F6" w14:textId="43AA0D47" w:rsidR="0077218D" w:rsidRPr="00C431B1" w:rsidRDefault="00BD191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C431B1" w:rsidRDefault="00FA639D" w:rsidP="00C431B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54C6983D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87850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147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87850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588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 Jose de </w:t>
      </w:r>
      <w:proofErr w:type="spellStart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Buan</w:t>
      </w:r>
      <w:proofErr w:type="spellEnd"/>
      <w:r w:rsidR="00C87850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Western Samar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21" w:type="dxa"/>
        <w:tblLook w:val="04A0" w:firstRow="1" w:lastRow="0" w:firstColumn="1" w:lastColumn="0" w:noHBand="0" w:noVBand="1"/>
      </w:tblPr>
      <w:tblGrid>
        <w:gridCol w:w="565"/>
        <w:gridCol w:w="3837"/>
        <w:gridCol w:w="1849"/>
        <w:gridCol w:w="1517"/>
        <w:gridCol w:w="1513"/>
      </w:tblGrid>
      <w:tr w:rsidR="00796AC1" w:rsidRPr="00C431B1" w14:paraId="10B172A6" w14:textId="77777777" w:rsidTr="00662AEB">
        <w:trPr>
          <w:trHeight w:val="20"/>
        </w:trPr>
        <w:tc>
          <w:tcPr>
            <w:tcW w:w="2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C431B1" w14:paraId="4A5AF5B6" w14:textId="77777777" w:rsidTr="00662AEB">
        <w:trPr>
          <w:trHeight w:val="20"/>
        </w:trPr>
        <w:tc>
          <w:tcPr>
            <w:tcW w:w="2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C431B1" w14:paraId="403C721A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1B29C910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22C0BBC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6771F56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588</w:t>
            </w:r>
            <w:r w:rsidR="0077218D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C431B1" w14:paraId="1640356F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566052FC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537D7789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6D68D7F0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30E8960D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588</w:t>
            </w:r>
          </w:p>
        </w:tc>
      </w:tr>
      <w:tr w:rsidR="0077218D" w:rsidRPr="00C431B1" w14:paraId="235A9A88" w14:textId="77777777" w:rsidTr="00662AEB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1B5619E2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61446723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2</w:t>
            </w:r>
            <w:r w:rsidR="0077218D"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6A310EA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260CEBA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588</w:t>
            </w:r>
          </w:p>
        </w:tc>
      </w:tr>
      <w:tr w:rsidR="0077218D" w:rsidRPr="00C431B1" w14:paraId="2FE835C6" w14:textId="77777777" w:rsidTr="00662AEB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3809C90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59B3DCDC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1CF17DD6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147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7BEDB87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588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FC6455B" w14:textId="6C2C334A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8E427FE" w14:textId="027F9A3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29A46F31" w:rsidR="00475561" w:rsidRPr="00C431B1" w:rsidRDefault="0077218D" w:rsidP="00C431B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C431B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C87850" w:rsidRPr="00C431B1">
        <w:rPr>
          <w:rFonts w:ascii="Arial" w:eastAsia="Arial" w:hAnsi="Arial" w:cs="Arial"/>
          <w:b/>
          <w:color w:val="0070C0"/>
          <w:sz w:val="24"/>
          <w:szCs w:val="24"/>
        </w:rPr>
        <w:t>145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87850" w:rsidRPr="00C431B1">
        <w:rPr>
          <w:rFonts w:ascii="Arial" w:eastAsia="Arial" w:hAnsi="Arial" w:cs="Arial"/>
          <w:b/>
          <w:color w:val="0070C0"/>
          <w:sz w:val="24"/>
          <w:szCs w:val="24"/>
        </w:rPr>
        <w:t>580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proofErr w:type="spellStart"/>
      <w:r w:rsidR="00C87850" w:rsidRPr="00C431B1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C87850"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7248"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63" w:type="pct"/>
        <w:tblInd w:w="704" w:type="dxa"/>
        <w:tblLook w:val="04A0" w:firstRow="1" w:lastRow="0" w:firstColumn="1" w:lastColumn="0" w:noHBand="0" w:noVBand="1"/>
      </w:tblPr>
      <w:tblGrid>
        <w:gridCol w:w="441"/>
        <w:gridCol w:w="2535"/>
        <w:gridCol w:w="1088"/>
        <w:gridCol w:w="1088"/>
        <w:gridCol w:w="983"/>
        <w:gridCol w:w="984"/>
        <w:gridCol w:w="983"/>
        <w:gridCol w:w="979"/>
      </w:tblGrid>
      <w:tr w:rsidR="00C431B1" w:rsidRPr="00C431B1" w14:paraId="4090E819" w14:textId="77777777" w:rsidTr="00C431B1">
        <w:trPr>
          <w:trHeight w:val="20"/>
        </w:trPr>
        <w:tc>
          <w:tcPr>
            <w:tcW w:w="1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14:paraId="0C9A3D68" w14:textId="59EB334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 OF EVACUATION CENTER</w:t>
            </w:r>
          </w:p>
        </w:tc>
        <w:tc>
          <w:tcPr>
            <w:tcW w:w="2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19D7F33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C431B1" w:rsidRPr="00C431B1" w14:paraId="0EC4F1A7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E75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6D0B8E8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143269A5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431B1" w:rsidRPr="00C431B1" w14:paraId="62A6F8CB" w14:textId="77777777" w:rsidTr="00C431B1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3D1B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58BF8A64" w14:textId="0A6501A6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6D8AFFB8" w14:textId="4A76187E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6F676B44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431B1" w:rsidRPr="00C431B1" w14:paraId="144D7A30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A3762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2486CC4B" w14:textId="4F4B8805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D73D997" w14:textId="2E8A8476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088124F7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15504D53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1AFF8CC7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1D035DAB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</w:tr>
      <w:tr w:rsidR="00C431B1" w:rsidRPr="00C431B1" w14:paraId="7DC898F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554A04" w14:textId="271C46E9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69F503F5" w14:textId="1F254F8B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0D1FA57F" w14:textId="59C36EFA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406F6918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70416393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68931581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35EB16C9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</w:tr>
      <w:tr w:rsidR="00C431B1" w:rsidRPr="00C431B1" w14:paraId="6854E4EB" w14:textId="77777777" w:rsidTr="00C431B1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3A1C3DB" w14:textId="3978E805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ECD99F6" w14:textId="6D074876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4610ED0" w14:textId="6A2B3B81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121CC292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625A9949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1F0CEC3F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5D12A08D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580 </w:t>
            </w:r>
          </w:p>
        </w:tc>
      </w:tr>
      <w:tr w:rsidR="00C431B1" w:rsidRPr="00C431B1" w14:paraId="700A1BF8" w14:textId="77777777" w:rsidTr="00C431B1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AD" w14:textId="43D3EC18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8C2" w14:textId="187E50B0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60E39" w14:textId="00728951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4A822F1B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57159EB4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145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23D34CFD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580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263A4C41" w:rsidR="00C431B1" w:rsidRPr="00C431B1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580</w:t>
            </w:r>
          </w:p>
        </w:tc>
      </w:tr>
    </w:tbl>
    <w:p w14:paraId="4EDFF925" w14:textId="336D5842" w:rsidR="0077218D" w:rsidRPr="00C431B1" w:rsidRDefault="0077218D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0165EA9E" w14:textId="09B97334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135C15" w14:textId="59BD13BF" w:rsidR="005A10C2" w:rsidRPr="00C431B1" w:rsidRDefault="00331AB1" w:rsidP="00C431B1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A10C2"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87850" w:rsidRPr="00C431B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C431B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C431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temporarily staying with relatives 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C431B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704" w:type="dxa"/>
        <w:tblLook w:val="04A0" w:firstRow="1" w:lastRow="0" w:firstColumn="1" w:lastColumn="0" w:noHBand="0" w:noVBand="1"/>
      </w:tblPr>
      <w:tblGrid>
        <w:gridCol w:w="380"/>
        <w:gridCol w:w="3981"/>
        <w:gridCol w:w="1091"/>
        <w:gridCol w:w="1091"/>
        <w:gridCol w:w="1255"/>
        <w:gridCol w:w="1246"/>
      </w:tblGrid>
      <w:tr w:rsidR="00796AC1" w:rsidRPr="00C431B1" w14:paraId="4C4116DD" w14:textId="77777777" w:rsidTr="00224104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C431B1" w14:paraId="67607C52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C431B1" w14:paraId="3D7D0AAB" w14:textId="77777777" w:rsidTr="00224104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C431B1" w14:paraId="4F2C8937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2EDEDCD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86D78C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505D463F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3E8BA242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71E3EC15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35C59E16" w14:textId="77777777" w:rsidTr="00224104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33FE7FA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483A18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</w:tr>
      <w:tr w:rsidR="0077218D" w:rsidRPr="00C431B1" w14:paraId="61C951BF" w14:textId="77777777" w:rsidTr="00224104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05B4EFEB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BB2D05C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</w:tr>
    </w:tbl>
    <w:p w14:paraId="345F9444" w14:textId="7D69F367" w:rsidR="007202DE" w:rsidRPr="00C431B1" w:rsidRDefault="007202DE" w:rsidP="00C431B1">
      <w:pPr>
        <w:pStyle w:val="NoSpacing1"/>
        <w:ind w:firstLine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77218D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</w:t>
      </w:r>
      <w:r w:rsidR="00331AB1" w:rsidRPr="00C431B1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B0B5B0B" w14:textId="32EA9261" w:rsidR="00312516" w:rsidRPr="00C431B1" w:rsidRDefault="00C8785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5C406604" w14:textId="4AAF88E7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FC07BEE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C431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28E3" w:rsidRPr="00C431B1">
        <w:rPr>
          <w:rFonts w:ascii="Arial" w:eastAsia="Arial" w:hAnsi="Arial" w:cs="Arial"/>
          <w:b/>
          <w:color w:val="0070C0"/>
          <w:sz w:val="24"/>
          <w:szCs w:val="24"/>
        </w:rPr>
        <w:t xml:space="preserve">125,313.00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DSWD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0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59"/>
        <w:gridCol w:w="1772"/>
        <w:gridCol w:w="1212"/>
        <w:gridCol w:w="1117"/>
        <w:gridCol w:w="1052"/>
        <w:gridCol w:w="1781"/>
      </w:tblGrid>
      <w:tr w:rsidR="006128E3" w:rsidRPr="006128E3" w14:paraId="6FA0CD94" w14:textId="77777777" w:rsidTr="00C431B1">
        <w:trPr>
          <w:trHeight w:val="20"/>
        </w:trPr>
        <w:tc>
          <w:tcPr>
            <w:tcW w:w="1294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D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706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C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6128E3" w:rsidRPr="00C431B1" w14:paraId="4E9AB74E" w14:textId="77777777" w:rsidTr="00C431B1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6FBA5C6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94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4BE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4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FF3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9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A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6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13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OTHERS</w:t>
            </w:r>
          </w:p>
        </w:tc>
        <w:tc>
          <w:tcPr>
            <w:tcW w:w="95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2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6128E3" w:rsidRPr="00C431B1" w14:paraId="66F31F33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7E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DC5E" w14:textId="5F62ABB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BA44" w14:textId="634E6B90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C4C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CB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344B" w14:textId="3E536C9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2A44F53F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E68" w14:textId="74162F8A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4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E51" w14:textId="3F78D093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EA7" w14:textId="28B496CB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F5CA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4084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E4CB" w14:textId="5F60E93C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40D0D4E0" w14:textId="77777777" w:rsidTr="00C431B1">
        <w:trPr>
          <w:trHeight w:val="20"/>
        </w:trPr>
        <w:tc>
          <w:tcPr>
            <w:tcW w:w="1294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FE3" w14:textId="0FFC875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4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4AD" w14:textId="6C5C420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931" w14:textId="20A7598C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8631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B4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0F" w14:textId="784DB189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125,313.00</w:t>
            </w:r>
          </w:p>
        </w:tc>
      </w:tr>
      <w:tr w:rsidR="006128E3" w:rsidRPr="00C431B1" w14:paraId="091CD728" w14:textId="77777777" w:rsidTr="00C431B1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9B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D08D" w14:textId="289FAD18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62BF" w14:textId="36ABF791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3C10" w14:textId="5D74407E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034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5D3" w14:textId="38215BA4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A3E" w14:textId="56647C5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Pr="00C431B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125,313.00</w:t>
            </w:r>
          </w:p>
        </w:tc>
      </w:tr>
    </w:tbl>
    <w:p w14:paraId="3316CB83" w14:textId="77777777" w:rsid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726470" w14:textId="1BB969A6" w:rsidR="00C431B1" w:rsidRP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471325" w:rsidR="00985089" w:rsidRPr="00C431B1" w:rsidRDefault="0024715B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F24B78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C46D46D" w:rsidR="00A424AB" w:rsidRPr="00C431B1" w:rsidRDefault="00E97EC4" w:rsidP="00C431B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="002F5643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325A9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 w:rsidRPr="00C431B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1E1A244" w:rsidR="001149A2" w:rsidRPr="00C431B1" w:rsidRDefault="0070366A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  <w:r w:rsidR="00F24B78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093334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54FB4" w14:textId="0EFE25E1" w:rsidR="004E1F9B" w:rsidRPr="00C431B1" w:rsidRDefault="00404BCA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VIII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through its Disaster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Response Management Division 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augmentation assistance to the displaced families consisting of </w:t>
            </w:r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 and blankets</w:t>
            </w:r>
            <w:r w:rsidR="0070366A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0D407449" w14:textId="556DF2FB" w:rsidR="00E514CC" w:rsidRPr="00C431B1" w:rsidRDefault="0070366A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4E1F9B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dispatched </w:t>
            </w:r>
            <w:bookmarkStart w:id="2" w:name="_GoBack"/>
            <w:r w:rsidR="00C431B1"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bookmarkEnd w:id="2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affected families in San Jose de </w:t>
            </w:r>
            <w:proofErr w:type="spellStart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Buan</w:t>
            </w:r>
            <w:proofErr w:type="spellEnd"/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1E197FEE" w:rsidR="004E1F9B" w:rsidRPr="00C431B1" w:rsidRDefault="00E514CC" w:rsidP="00C431B1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 w:hanging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through its Disaster Response Management Division is continuously coordinating with the concerned LGU for possible augmentation assistance request.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0179083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4E1F9B" w:rsidRPr="00C431B1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D1A341E" w:rsidR="00C9090C" w:rsidRPr="00C431B1" w:rsidRDefault="00F53512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C431B1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AA92" w14:textId="77777777" w:rsidR="00D96A46" w:rsidRDefault="00D96A46">
      <w:pPr>
        <w:spacing w:after="0" w:line="240" w:lineRule="auto"/>
      </w:pPr>
      <w:r>
        <w:separator/>
      </w:r>
    </w:p>
  </w:endnote>
  <w:endnote w:type="continuationSeparator" w:id="0">
    <w:p w14:paraId="1E0C3A54" w14:textId="77777777" w:rsidR="00D96A46" w:rsidRDefault="00D9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1D6411D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431B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C431B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53512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 xml:space="preserve">San Jose de </w:t>
    </w:r>
    <w:proofErr w:type="spellStart"/>
    <w:r w:rsidR="001E404B">
      <w:rPr>
        <w:rFonts w:ascii="Arial" w:eastAsia="Arial" w:hAnsi="Arial" w:cs="Arial"/>
        <w:sz w:val="14"/>
        <w:szCs w:val="18"/>
      </w:rPr>
      <w:t>Buan</w:t>
    </w:r>
    <w:proofErr w:type="spellEnd"/>
    <w:r w:rsidR="001E404B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 xml:space="preserve">Western </w:t>
    </w:r>
    <w:r w:rsidR="001E404B">
      <w:rPr>
        <w:rFonts w:ascii="Arial" w:eastAsia="Arial" w:hAnsi="Arial" w:cs="Arial"/>
        <w:sz w:val="14"/>
        <w:szCs w:val="18"/>
      </w:rPr>
      <w:t>Samar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F53512">
      <w:rPr>
        <w:rFonts w:ascii="Arial" w:eastAsia="Arial" w:hAnsi="Arial" w:cs="Arial"/>
        <w:sz w:val="14"/>
        <w:szCs w:val="18"/>
      </w:rPr>
      <w:t>21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33D2" w14:textId="77777777" w:rsidR="00D96A46" w:rsidRDefault="00D96A46">
      <w:pPr>
        <w:spacing w:after="0" w:line="240" w:lineRule="auto"/>
      </w:pPr>
      <w:r>
        <w:separator/>
      </w:r>
    </w:p>
  </w:footnote>
  <w:footnote w:type="continuationSeparator" w:id="0">
    <w:p w14:paraId="38AFD2B6" w14:textId="77777777" w:rsidR="00D96A46" w:rsidRDefault="00D9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28E3"/>
    <w:rsid w:val="0061793C"/>
    <w:rsid w:val="0065029D"/>
    <w:rsid w:val="00651F59"/>
    <w:rsid w:val="00662AEB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24B78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D6B4-5244-4B6F-A354-626C5AE0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5</cp:revision>
  <dcterms:created xsi:type="dcterms:W3CDTF">2019-03-21T06:27:00Z</dcterms:created>
  <dcterms:modified xsi:type="dcterms:W3CDTF">2019-03-21T07:19:00Z</dcterms:modified>
</cp:coreProperties>
</file>