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538974" w14:textId="714EC71E" w:rsidR="00055CBA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431B1">
        <w:rPr>
          <w:rFonts w:ascii="Arial" w:eastAsia="Arial" w:hAnsi="Arial" w:cs="Arial"/>
          <w:b/>
          <w:sz w:val="32"/>
          <w:szCs w:val="24"/>
        </w:rPr>
        <w:t>DSWD</w:t>
      </w:r>
      <w:r w:rsidR="008F1660">
        <w:rPr>
          <w:rFonts w:ascii="Arial" w:eastAsia="Arial" w:hAnsi="Arial" w:cs="Arial"/>
          <w:b/>
          <w:sz w:val="32"/>
          <w:szCs w:val="24"/>
        </w:rPr>
        <w:t xml:space="preserve"> </w:t>
      </w:r>
      <w:r w:rsidRPr="00C431B1">
        <w:rPr>
          <w:rFonts w:ascii="Arial" w:eastAsia="Arial" w:hAnsi="Arial" w:cs="Arial"/>
          <w:b/>
          <w:sz w:val="32"/>
          <w:szCs w:val="24"/>
        </w:rPr>
        <w:t>DROMIC</w:t>
      </w:r>
      <w:r w:rsidR="008F1660">
        <w:rPr>
          <w:rFonts w:ascii="Arial" w:eastAsia="Arial" w:hAnsi="Arial" w:cs="Arial"/>
          <w:b/>
          <w:sz w:val="32"/>
          <w:szCs w:val="24"/>
        </w:rPr>
        <w:t xml:space="preserve"> </w:t>
      </w:r>
      <w:r w:rsidR="00055CBA">
        <w:rPr>
          <w:rFonts w:ascii="Arial" w:eastAsia="Arial" w:hAnsi="Arial" w:cs="Arial"/>
          <w:b/>
          <w:sz w:val="32"/>
          <w:szCs w:val="24"/>
        </w:rPr>
        <w:t>Preparedness</w:t>
      </w:r>
      <w:r w:rsidR="008F1660">
        <w:rPr>
          <w:rFonts w:ascii="Arial" w:eastAsia="Arial" w:hAnsi="Arial" w:cs="Arial"/>
          <w:b/>
          <w:sz w:val="32"/>
          <w:szCs w:val="24"/>
        </w:rPr>
        <w:t xml:space="preserve"> </w:t>
      </w:r>
      <w:r w:rsidR="00055CBA">
        <w:rPr>
          <w:rFonts w:ascii="Arial" w:eastAsia="Arial" w:hAnsi="Arial" w:cs="Arial"/>
          <w:b/>
          <w:sz w:val="32"/>
          <w:szCs w:val="24"/>
        </w:rPr>
        <w:t>for</w:t>
      </w:r>
      <w:r w:rsidR="008F1660">
        <w:rPr>
          <w:rFonts w:ascii="Arial" w:eastAsia="Arial" w:hAnsi="Arial" w:cs="Arial"/>
          <w:b/>
          <w:sz w:val="32"/>
          <w:szCs w:val="24"/>
        </w:rPr>
        <w:t xml:space="preserve"> </w:t>
      </w:r>
      <w:r w:rsidR="00055CBA">
        <w:rPr>
          <w:rFonts w:ascii="Arial" w:eastAsia="Arial" w:hAnsi="Arial" w:cs="Arial"/>
          <w:b/>
          <w:sz w:val="32"/>
          <w:szCs w:val="24"/>
        </w:rPr>
        <w:t>Response</w:t>
      </w:r>
      <w:r w:rsidR="008F1660">
        <w:rPr>
          <w:rFonts w:ascii="Arial" w:eastAsia="Arial" w:hAnsi="Arial" w:cs="Arial"/>
          <w:b/>
          <w:sz w:val="32"/>
          <w:szCs w:val="24"/>
        </w:rPr>
        <w:t xml:space="preserve"> </w:t>
      </w:r>
      <w:r w:rsidRPr="00C431B1">
        <w:rPr>
          <w:rFonts w:ascii="Arial" w:eastAsia="Arial" w:hAnsi="Arial" w:cs="Arial"/>
          <w:b/>
          <w:sz w:val="32"/>
          <w:szCs w:val="24"/>
        </w:rPr>
        <w:t>Report</w:t>
      </w:r>
      <w:r w:rsidR="008F1660">
        <w:rPr>
          <w:rFonts w:ascii="Arial" w:eastAsia="Arial" w:hAnsi="Arial" w:cs="Arial"/>
          <w:b/>
          <w:sz w:val="32"/>
          <w:szCs w:val="24"/>
        </w:rPr>
        <w:t xml:space="preserve"> </w:t>
      </w:r>
      <w:r w:rsidRPr="00C431B1">
        <w:rPr>
          <w:rFonts w:ascii="Arial" w:eastAsia="Arial" w:hAnsi="Arial" w:cs="Arial"/>
          <w:b/>
          <w:sz w:val="32"/>
          <w:szCs w:val="24"/>
        </w:rPr>
        <w:t>#</w:t>
      </w:r>
      <w:r w:rsidR="00924CB0">
        <w:rPr>
          <w:rFonts w:ascii="Arial" w:eastAsia="Arial" w:hAnsi="Arial" w:cs="Arial"/>
          <w:b/>
          <w:sz w:val="32"/>
          <w:szCs w:val="24"/>
        </w:rPr>
        <w:t>1</w:t>
      </w:r>
      <w:r w:rsidR="008F1660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1F3EBAB0" w14:textId="12705F66" w:rsidR="00662AEB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C431B1">
        <w:rPr>
          <w:rFonts w:ascii="Arial" w:eastAsia="Arial" w:hAnsi="Arial" w:cs="Arial"/>
          <w:b/>
          <w:sz w:val="32"/>
          <w:szCs w:val="24"/>
        </w:rPr>
        <w:t>on</w:t>
      </w:r>
      <w:proofErr w:type="gramEnd"/>
      <w:r w:rsidR="008F1660">
        <w:rPr>
          <w:rFonts w:ascii="Arial" w:eastAsia="Arial" w:hAnsi="Arial" w:cs="Arial"/>
          <w:b/>
          <w:sz w:val="32"/>
          <w:szCs w:val="24"/>
        </w:rPr>
        <w:t xml:space="preserve"> </w:t>
      </w:r>
      <w:r w:rsidRPr="00C431B1">
        <w:rPr>
          <w:rFonts w:ascii="Arial" w:eastAsia="Arial" w:hAnsi="Arial" w:cs="Arial"/>
          <w:b/>
          <w:sz w:val="32"/>
          <w:szCs w:val="24"/>
        </w:rPr>
        <w:t>the</w:t>
      </w:r>
      <w:r w:rsidR="008F1660">
        <w:rPr>
          <w:rFonts w:ascii="Arial" w:eastAsia="Arial" w:hAnsi="Arial" w:cs="Arial"/>
          <w:b/>
          <w:sz w:val="32"/>
          <w:szCs w:val="24"/>
        </w:rPr>
        <w:t xml:space="preserve"> </w:t>
      </w:r>
      <w:r w:rsidR="00055CBA">
        <w:rPr>
          <w:rFonts w:ascii="Arial" w:eastAsia="Arial" w:hAnsi="Arial" w:cs="Arial"/>
          <w:b/>
          <w:sz w:val="32"/>
          <w:szCs w:val="24"/>
        </w:rPr>
        <w:t>Observance</w:t>
      </w:r>
      <w:r w:rsidR="008F1660">
        <w:rPr>
          <w:rFonts w:ascii="Arial" w:eastAsia="Arial" w:hAnsi="Arial" w:cs="Arial"/>
          <w:b/>
          <w:sz w:val="32"/>
          <w:szCs w:val="24"/>
        </w:rPr>
        <w:t xml:space="preserve"> </w:t>
      </w:r>
      <w:r w:rsidR="00055CBA">
        <w:rPr>
          <w:rFonts w:ascii="Arial" w:eastAsia="Arial" w:hAnsi="Arial" w:cs="Arial"/>
          <w:b/>
          <w:sz w:val="32"/>
          <w:szCs w:val="24"/>
        </w:rPr>
        <w:t>of</w:t>
      </w:r>
      <w:r w:rsidR="008F1660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055CBA">
        <w:rPr>
          <w:rFonts w:ascii="Arial" w:eastAsia="Arial" w:hAnsi="Arial" w:cs="Arial"/>
          <w:b/>
          <w:sz w:val="32"/>
          <w:szCs w:val="24"/>
        </w:rPr>
        <w:t>Semana</w:t>
      </w:r>
      <w:proofErr w:type="spellEnd"/>
      <w:r w:rsidR="008F1660">
        <w:rPr>
          <w:rFonts w:ascii="Arial" w:eastAsia="Arial" w:hAnsi="Arial" w:cs="Arial"/>
          <w:b/>
          <w:sz w:val="32"/>
          <w:szCs w:val="24"/>
        </w:rPr>
        <w:t xml:space="preserve"> </w:t>
      </w:r>
      <w:r w:rsidR="00055CBA">
        <w:rPr>
          <w:rFonts w:ascii="Arial" w:eastAsia="Arial" w:hAnsi="Arial" w:cs="Arial"/>
          <w:b/>
          <w:sz w:val="32"/>
          <w:szCs w:val="24"/>
        </w:rPr>
        <w:t>Santa</w:t>
      </w:r>
      <w:r w:rsidR="008F1660">
        <w:rPr>
          <w:rFonts w:ascii="Arial" w:eastAsia="Arial" w:hAnsi="Arial" w:cs="Arial"/>
          <w:b/>
          <w:sz w:val="32"/>
          <w:szCs w:val="24"/>
        </w:rPr>
        <w:t xml:space="preserve"> </w:t>
      </w:r>
      <w:r w:rsidR="00055CBA">
        <w:rPr>
          <w:rFonts w:ascii="Arial" w:eastAsia="Arial" w:hAnsi="Arial" w:cs="Arial"/>
          <w:b/>
          <w:sz w:val="32"/>
          <w:szCs w:val="24"/>
        </w:rPr>
        <w:t>2019</w:t>
      </w:r>
    </w:p>
    <w:p w14:paraId="5643A86C" w14:textId="25CB286F" w:rsidR="00B3139B" w:rsidRDefault="0077218D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C431B1">
        <w:rPr>
          <w:rFonts w:ascii="Arial" w:eastAsia="Arial" w:hAnsi="Arial" w:cs="Arial"/>
          <w:sz w:val="24"/>
          <w:szCs w:val="24"/>
        </w:rPr>
        <w:t>as</w:t>
      </w:r>
      <w:proofErr w:type="gramEnd"/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C431B1">
        <w:rPr>
          <w:rFonts w:ascii="Arial" w:eastAsia="Arial" w:hAnsi="Arial" w:cs="Arial"/>
          <w:sz w:val="24"/>
          <w:szCs w:val="24"/>
        </w:rPr>
        <w:t>of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="00055CBA">
        <w:rPr>
          <w:rFonts w:ascii="Arial" w:eastAsia="Arial" w:hAnsi="Arial" w:cs="Arial"/>
          <w:sz w:val="24"/>
          <w:szCs w:val="24"/>
        </w:rPr>
        <w:t>15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="00924CB0">
        <w:rPr>
          <w:rFonts w:ascii="Arial" w:eastAsia="Arial" w:hAnsi="Arial" w:cs="Arial"/>
          <w:sz w:val="24"/>
          <w:szCs w:val="24"/>
        </w:rPr>
        <w:t>April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C431B1">
        <w:rPr>
          <w:rFonts w:ascii="Arial" w:eastAsia="Arial" w:hAnsi="Arial" w:cs="Arial"/>
          <w:sz w:val="24"/>
          <w:szCs w:val="24"/>
        </w:rPr>
        <w:t>2019,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="00055CBA">
        <w:rPr>
          <w:rFonts w:ascii="Arial" w:eastAsia="Arial" w:hAnsi="Arial" w:cs="Arial"/>
          <w:sz w:val="24"/>
          <w:szCs w:val="24"/>
        </w:rPr>
        <w:t>6</w:t>
      </w:r>
      <w:r w:rsidRPr="00C431B1">
        <w:rPr>
          <w:rFonts w:ascii="Arial" w:eastAsia="Arial" w:hAnsi="Arial" w:cs="Arial"/>
          <w:sz w:val="24"/>
          <w:szCs w:val="24"/>
        </w:rPr>
        <w:t>PM</w:t>
      </w:r>
    </w:p>
    <w:p w14:paraId="1EF228B2" w14:textId="77777777" w:rsidR="00B3139B" w:rsidRDefault="00B3139B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8BB0E88" w14:textId="77777777" w:rsidR="00055CBA" w:rsidRDefault="00055CBA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4CB5C862" w:rsidR="00D10EA4" w:rsidRPr="00B3139B" w:rsidRDefault="00C34F52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Background</w:t>
      </w:r>
      <w:r w:rsidR="008F1660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Information</w:t>
      </w:r>
      <w:r w:rsidR="008F1660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</w:p>
    <w:p w14:paraId="3C7F903D" w14:textId="77777777" w:rsidR="00796AC1" w:rsidRPr="00C431B1" w:rsidRDefault="00796AC1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72A690D" w14:textId="2C5DC429" w:rsidR="00EB31D4" w:rsidRDefault="00EB31D4" w:rsidP="00EB31D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B31D4">
        <w:rPr>
          <w:rFonts w:ascii="Arial" w:eastAsia="Arial" w:hAnsi="Arial" w:cs="Arial"/>
          <w:sz w:val="24"/>
          <w:szCs w:val="24"/>
        </w:rPr>
        <w:t>As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Asian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country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with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highest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population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of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Christianity,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Philippines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commemorates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yearly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week-long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celebration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of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Jesus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Christ's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sacrifice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on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cross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for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salvation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of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His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people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from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sin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and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His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gift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of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everlasting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life.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"</w:t>
      </w:r>
      <w:proofErr w:type="spellStart"/>
      <w:r w:rsidRPr="00EB31D4">
        <w:rPr>
          <w:rFonts w:ascii="Arial" w:eastAsia="Arial" w:hAnsi="Arial" w:cs="Arial"/>
          <w:sz w:val="24"/>
          <w:szCs w:val="24"/>
        </w:rPr>
        <w:t>Semana</w:t>
      </w:r>
      <w:proofErr w:type="spellEnd"/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Santa"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or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Holy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Week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starts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on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Palm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Sunday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and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ends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on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Easter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Sunday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-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day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where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we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celebrate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Christ‘s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resurrection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from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dead.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whole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week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is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observed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in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solemnity,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with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Holy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Thursday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and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Good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Friday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recognized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official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holidays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by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state.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such,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it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is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common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that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Filipinos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begin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to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take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leave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from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school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or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work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early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Holy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Monday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and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lasting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entire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week.</w:t>
      </w:r>
    </w:p>
    <w:p w14:paraId="4E0294C7" w14:textId="74AAB886" w:rsidR="00EB31D4" w:rsidRPr="00EB31D4" w:rsidRDefault="0097124E" w:rsidP="00EB31D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4E80F002" w14:textId="1E89A5C0" w:rsidR="005A10C2" w:rsidRPr="00C431B1" w:rsidRDefault="00EB31D4" w:rsidP="00EB31D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B31D4">
        <w:rPr>
          <w:rFonts w:ascii="Arial" w:eastAsia="Arial" w:hAnsi="Arial" w:cs="Arial"/>
          <w:sz w:val="24"/>
          <w:szCs w:val="24"/>
        </w:rPr>
        <w:t>During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this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time,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majority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of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Filipinos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join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rush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to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go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home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to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their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respective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hometowns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and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provinces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to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spend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this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holy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festivity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together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with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their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families.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Consequently,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an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increase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in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volume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of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people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are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expected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in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transport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stations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such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bus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terminals,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air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and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sea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ports,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which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amplifies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vulnerability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of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these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people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to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human-induced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disasters.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Naturally,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we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also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cannot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rule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out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possibility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of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occurrence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of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natural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disasters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during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this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period.</w:t>
      </w:r>
    </w:p>
    <w:p w14:paraId="42A13259" w14:textId="77777777" w:rsidR="006128E3" w:rsidRDefault="006128E3" w:rsidP="00C431B1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DED3368" w14:textId="77777777" w:rsidR="00C34F52" w:rsidRPr="00C431B1" w:rsidRDefault="00C34F52" w:rsidP="00C431B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561F77CF" w:rsidR="001149A2" w:rsidRDefault="00C34F52" w:rsidP="00C431B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Weather</w:t>
      </w:r>
      <w:r w:rsidR="008F1660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Bulletin</w:t>
      </w:r>
    </w:p>
    <w:p w14:paraId="031E10F8" w14:textId="77777777" w:rsidR="00645972" w:rsidRDefault="00645972" w:rsidP="00C431B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7DBE303" w14:textId="373CA52C" w:rsidR="009A13CE" w:rsidRDefault="009A13CE" w:rsidP="00C431B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Issued at 4PM today, Easterlies affecting Southern Luzon, </w:t>
      </w:r>
      <w:proofErr w:type="spellStart"/>
      <w:r>
        <w:rPr>
          <w:rFonts w:ascii="Arial" w:eastAsia="Arial" w:hAnsi="Arial" w:cs="Arial"/>
          <w:sz w:val="24"/>
          <w:szCs w:val="24"/>
        </w:rPr>
        <w:t>Visayas</w:t>
      </w:r>
      <w:proofErr w:type="spellEnd"/>
      <w:r>
        <w:rPr>
          <w:rFonts w:ascii="Arial" w:eastAsia="Arial" w:hAnsi="Arial" w:cs="Arial"/>
          <w:sz w:val="24"/>
          <w:szCs w:val="24"/>
        </w:rPr>
        <w:t>, and Mindanao.</w:t>
      </w:r>
    </w:p>
    <w:p w14:paraId="5BBAA8A3" w14:textId="77777777" w:rsidR="006C0FE2" w:rsidRDefault="006C0FE2" w:rsidP="006C0FE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E807420" w14:textId="66581215" w:rsidR="006C0FE2" w:rsidRPr="006C0FE2" w:rsidRDefault="006C0FE2" w:rsidP="006C0FE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hyperlink r:id="rId8" w:anchor="daily-weather-forecast" w:history="1">
        <w:r w:rsidRPr="006C0FE2">
          <w:rPr>
            <w:rStyle w:val="Hyperlink"/>
            <w:rFonts w:ascii="Arial" w:eastAsia="Arial" w:hAnsi="Arial" w:cs="Arial"/>
            <w:i/>
            <w:color w:val="0070C0"/>
            <w:sz w:val="16"/>
            <w:szCs w:val="24"/>
            <w:u w:val="none"/>
          </w:rPr>
          <w:t>Source: DOST-PAGASA Daily Weather Forecast</w:t>
        </w:r>
      </w:hyperlink>
    </w:p>
    <w:p w14:paraId="6E42D873" w14:textId="77777777" w:rsidR="00645972" w:rsidRDefault="00645972" w:rsidP="00C431B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576A0BA" w14:textId="77777777" w:rsidR="00645972" w:rsidRPr="00645972" w:rsidRDefault="00645972" w:rsidP="00C431B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7665B4E" w14:textId="0A250DFE" w:rsidR="00C34F52" w:rsidRPr="00C34F52" w:rsidRDefault="00C34F52" w:rsidP="00C34F5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F52">
        <w:rPr>
          <w:rFonts w:ascii="Arial" w:eastAsia="Times New Roman" w:hAnsi="Arial" w:cs="Arial"/>
          <w:b/>
          <w:bCs/>
          <w:color w:val="002060"/>
          <w:sz w:val="28"/>
          <w:szCs w:val="28"/>
        </w:rPr>
        <w:t>Status</w:t>
      </w:r>
      <w:r w:rsidR="008F1660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Pr="00C34F52">
        <w:rPr>
          <w:rFonts w:ascii="Arial" w:eastAsia="Times New Roman" w:hAnsi="Arial" w:cs="Arial"/>
          <w:b/>
          <w:bCs/>
          <w:color w:val="002060"/>
          <w:sz w:val="28"/>
          <w:szCs w:val="28"/>
        </w:rPr>
        <w:t>of</w:t>
      </w:r>
      <w:r w:rsidR="008F1660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Pr="00C34F52">
        <w:rPr>
          <w:rFonts w:ascii="Arial" w:eastAsia="Times New Roman" w:hAnsi="Arial" w:cs="Arial"/>
          <w:b/>
          <w:bCs/>
          <w:color w:val="002060"/>
          <w:sz w:val="28"/>
          <w:szCs w:val="28"/>
        </w:rPr>
        <w:t>Prepositioned</w:t>
      </w:r>
      <w:r w:rsidR="008F1660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Pr="00C34F52">
        <w:rPr>
          <w:rFonts w:ascii="Arial" w:eastAsia="Times New Roman" w:hAnsi="Arial" w:cs="Arial"/>
          <w:b/>
          <w:bCs/>
          <w:color w:val="002060"/>
          <w:sz w:val="28"/>
          <w:szCs w:val="28"/>
        </w:rPr>
        <w:t>Resources:</w:t>
      </w:r>
      <w:r w:rsidR="008F1660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Pr="00C34F52">
        <w:rPr>
          <w:rFonts w:ascii="Arial" w:eastAsia="Times New Roman" w:hAnsi="Arial" w:cs="Arial"/>
          <w:b/>
          <w:bCs/>
          <w:color w:val="002060"/>
          <w:sz w:val="28"/>
          <w:szCs w:val="28"/>
        </w:rPr>
        <w:t>Stockpile</w:t>
      </w:r>
      <w:r w:rsidR="008F1660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Pr="00C34F52">
        <w:rPr>
          <w:rFonts w:ascii="Arial" w:eastAsia="Times New Roman" w:hAnsi="Arial" w:cs="Arial"/>
          <w:b/>
          <w:bCs/>
          <w:color w:val="002060"/>
          <w:sz w:val="28"/>
          <w:szCs w:val="28"/>
        </w:rPr>
        <w:t>and</w:t>
      </w:r>
      <w:r w:rsidR="008F1660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Pr="00C34F52">
        <w:rPr>
          <w:rFonts w:ascii="Arial" w:eastAsia="Times New Roman" w:hAnsi="Arial" w:cs="Arial"/>
          <w:b/>
          <w:bCs/>
          <w:color w:val="002060"/>
          <w:sz w:val="28"/>
          <w:szCs w:val="28"/>
        </w:rPr>
        <w:t>Standby</w:t>
      </w:r>
      <w:r w:rsidR="008F1660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Pr="00C34F52">
        <w:rPr>
          <w:rFonts w:ascii="Arial" w:eastAsia="Times New Roman" w:hAnsi="Arial" w:cs="Arial"/>
          <w:b/>
          <w:bCs/>
          <w:color w:val="002060"/>
          <w:sz w:val="28"/>
          <w:szCs w:val="28"/>
        </w:rPr>
        <w:t>Funds</w:t>
      </w:r>
    </w:p>
    <w:p w14:paraId="4CC98ACA" w14:textId="41A1CD1C" w:rsidR="00C34F52" w:rsidRPr="00C34F52" w:rsidRDefault="00C34F52" w:rsidP="00C34F52">
      <w:pPr>
        <w:widowControl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F52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DSWD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Central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Office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(CO),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Field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Offices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(FOs),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National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Resource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Operations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Center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(NROC)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stockpiles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standby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funds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amounting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5DFF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8F5DFF" w:rsidRPr="008F5DFF">
        <w:rPr>
          <w:rFonts w:ascii="Arial" w:eastAsia="Times New Roman" w:hAnsi="Arial" w:cs="Arial"/>
          <w:b/>
          <w:bCs/>
          <w:color w:val="0070C0"/>
          <w:sz w:val="24"/>
          <w:szCs w:val="24"/>
        </w:rPr>
        <w:t>1,321,016,224.30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breakdown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follows:</w:t>
      </w:r>
    </w:p>
    <w:p w14:paraId="6ADE3DD9" w14:textId="77777777" w:rsidR="00C34F52" w:rsidRPr="00C34F52" w:rsidRDefault="00C34F52" w:rsidP="00C34F5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F79F32" w14:textId="2EA708FA" w:rsidR="00C34F52" w:rsidRPr="00182154" w:rsidRDefault="00C34F52" w:rsidP="00182154">
      <w:pPr>
        <w:pStyle w:val="ListParagraph"/>
        <w:widowControl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8215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Standby</w:t>
      </w:r>
      <w:r w:rsidR="008F166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8215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Funds</w:t>
      </w:r>
      <w:bookmarkStart w:id="1" w:name="_GoBack"/>
      <w:bookmarkEnd w:id="1"/>
    </w:p>
    <w:p w14:paraId="690CD088" w14:textId="142C0A04" w:rsidR="00C34F52" w:rsidRPr="00C34F52" w:rsidRDefault="00C34F52" w:rsidP="00182154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F52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total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15D0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A915D0" w:rsidRPr="00A915D0">
        <w:rPr>
          <w:rFonts w:ascii="Arial" w:eastAsia="Times New Roman" w:hAnsi="Arial" w:cs="Arial"/>
          <w:b/>
          <w:bCs/>
          <w:color w:val="0070C0"/>
          <w:sz w:val="24"/>
          <w:szCs w:val="24"/>
        </w:rPr>
        <w:t>420,398,277.60</w:t>
      </w:r>
      <w:r w:rsidR="008F1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standby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funds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CO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FOs.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said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amount,</w:t>
      </w:r>
      <w:r w:rsidR="008F1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5D0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A915D0" w:rsidRPr="00A915D0">
        <w:rPr>
          <w:rFonts w:ascii="Arial" w:eastAsia="Times New Roman" w:hAnsi="Arial" w:cs="Arial"/>
          <w:b/>
          <w:bCs/>
          <w:color w:val="0070C0"/>
          <w:sz w:val="24"/>
          <w:szCs w:val="24"/>
        </w:rPr>
        <w:t>379,175,082.35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available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Quick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Response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Fund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4F52">
        <w:rPr>
          <w:rFonts w:ascii="Arial" w:eastAsia="Times New Roman" w:hAnsi="Arial" w:cs="Arial"/>
          <w:color w:val="000000"/>
          <w:sz w:val="24"/>
          <w:szCs w:val="24"/>
        </w:rPr>
        <w:t>CO.</w:t>
      </w:r>
    </w:p>
    <w:p w14:paraId="2BA8EB64" w14:textId="77777777" w:rsidR="00C34F52" w:rsidRPr="00C34F52" w:rsidRDefault="00C34F52" w:rsidP="00C34F5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51C4B4" w14:textId="77777777" w:rsidR="00182154" w:rsidRPr="00182154" w:rsidRDefault="00C34F52" w:rsidP="00C34F52">
      <w:pPr>
        <w:pStyle w:val="ListParagraph"/>
        <w:widowControl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82154">
        <w:rPr>
          <w:rFonts w:ascii="Arial" w:eastAsia="Times New Roman" w:hAnsi="Arial" w:cs="Arial"/>
          <w:b/>
          <w:bCs/>
          <w:color w:val="000000"/>
          <w:sz w:val="24"/>
          <w:szCs w:val="24"/>
        </w:rPr>
        <w:t>Stockpiles</w:t>
      </w:r>
    </w:p>
    <w:p w14:paraId="79ECDFC0" w14:textId="0A64F1BB" w:rsidR="00C34F52" w:rsidRPr="00182154" w:rsidRDefault="00C34F52" w:rsidP="00182154">
      <w:pPr>
        <w:pStyle w:val="ListParagraph"/>
        <w:widowControl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82154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82154">
        <w:rPr>
          <w:rFonts w:ascii="Arial" w:eastAsia="Times New Roman" w:hAnsi="Arial" w:cs="Arial"/>
          <w:color w:val="000000"/>
          <w:sz w:val="24"/>
          <w:szCs w:val="24"/>
        </w:rPr>
        <w:t>total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82154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15D0" w:rsidRPr="00A915D0">
        <w:rPr>
          <w:rFonts w:ascii="Arial" w:eastAsia="Times New Roman" w:hAnsi="Arial" w:cs="Arial"/>
          <w:b/>
          <w:bCs/>
          <w:color w:val="0070C0"/>
          <w:sz w:val="24"/>
          <w:szCs w:val="24"/>
        </w:rPr>
        <w:t>320,019</w:t>
      </w:r>
      <w:r w:rsidR="00A915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15D0">
        <w:rPr>
          <w:rFonts w:ascii="Arial" w:eastAsia="Times New Roman" w:hAnsi="Arial" w:cs="Arial"/>
          <w:b/>
          <w:color w:val="0070C0"/>
          <w:sz w:val="24"/>
          <w:szCs w:val="24"/>
        </w:rPr>
        <w:t>Family</w:t>
      </w:r>
      <w:r w:rsidR="008F1660" w:rsidRPr="00A915D0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A915D0">
        <w:rPr>
          <w:rFonts w:ascii="Arial" w:eastAsia="Times New Roman" w:hAnsi="Arial" w:cs="Arial"/>
          <w:b/>
          <w:color w:val="0070C0"/>
          <w:sz w:val="24"/>
          <w:szCs w:val="24"/>
        </w:rPr>
        <w:t>Food</w:t>
      </w:r>
      <w:r w:rsidR="008F1660" w:rsidRPr="00A915D0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A915D0">
        <w:rPr>
          <w:rFonts w:ascii="Arial" w:eastAsia="Times New Roman" w:hAnsi="Arial" w:cs="Arial"/>
          <w:b/>
          <w:color w:val="0070C0"/>
          <w:sz w:val="24"/>
          <w:szCs w:val="24"/>
        </w:rPr>
        <w:t>Packs</w:t>
      </w:r>
      <w:r w:rsidR="008F1660" w:rsidRPr="00A915D0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A915D0">
        <w:rPr>
          <w:rFonts w:ascii="Arial" w:eastAsia="Times New Roman" w:hAnsi="Arial" w:cs="Arial"/>
          <w:b/>
          <w:color w:val="0070C0"/>
          <w:sz w:val="24"/>
          <w:szCs w:val="24"/>
        </w:rPr>
        <w:t>(FFPs)</w:t>
      </w:r>
      <w:r w:rsidR="008F1660" w:rsidRPr="00A915D0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182154">
        <w:rPr>
          <w:rFonts w:ascii="Arial" w:eastAsia="Times New Roman" w:hAnsi="Arial" w:cs="Arial"/>
          <w:color w:val="000000"/>
          <w:sz w:val="24"/>
          <w:szCs w:val="24"/>
        </w:rPr>
        <w:t>amounting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82154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24402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524402" w:rsidRPr="00524402">
        <w:rPr>
          <w:rFonts w:ascii="Arial" w:eastAsia="Times New Roman" w:hAnsi="Arial" w:cs="Arial"/>
          <w:b/>
          <w:bCs/>
          <w:color w:val="0070C0"/>
          <w:sz w:val="24"/>
          <w:szCs w:val="24"/>
        </w:rPr>
        <w:t>127,671,978.26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82154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82154">
        <w:rPr>
          <w:rFonts w:ascii="Arial" w:eastAsia="Times New Roman" w:hAnsi="Arial" w:cs="Arial"/>
          <w:color w:val="000000"/>
          <w:sz w:val="24"/>
          <w:szCs w:val="24"/>
        </w:rPr>
        <w:t>available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82154">
        <w:rPr>
          <w:rFonts w:ascii="Arial" w:eastAsia="Times New Roman" w:hAnsi="Arial" w:cs="Arial"/>
          <w:color w:val="000000"/>
          <w:sz w:val="24"/>
          <w:szCs w:val="24"/>
        </w:rPr>
        <w:t>Food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82154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82154">
        <w:rPr>
          <w:rFonts w:ascii="Arial" w:eastAsia="Times New Roman" w:hAnsi="Arial" w:cs="Arial"/>
          <w:color w:val="000000"/>
          <w:sz w:val="24"/>
          <w:szCs w:val="24"/>
        </w:rPr>
        <w:t>Non-food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82154">
        <w:rPr>
          <w:rFonts w:ascii="Arial" w:eastAsia="Times New Roman" w:hAnsi="Arial" w:cs="Arial"/>
          <w:color w:val="000000"/>
          <w:sz w:val="24"/>
          <w:szCs w:val="24"/>
        </w:rPr>
        <w:t>Items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82154">
        <w:rPr>
          <w:rFonts w:ascii="Arial" w:eastAsia="Times New Roman" w:hAnsi="Arial" w:cs="Arial"/>
          <w:color w:val="000000"/>
          <w:sz w:val="24"/>
          <w:szCs w:val="24"/>
        </w:rPr>
        <w:t>(FNIs)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82154">
        <w:rPr>
          <w:rFonts w:ascii="Arial" w:eastAsia="Times New Roman" w:hAnsi="Arial" w:cs="Arial"/>
          <w:color w:val="000000"/>
          <w:sz w:val="24"/>
          <w:szCs w:val="24"/>
        </w:rPr>
        <w:t>amounting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82154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8F1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24402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524402" w:rsidRPr="00524402">
        <w:rPr>
          <w:rFonts w:ascii="Arial" w:eastAsia="Times New Roman" w:hAnsi="Arial" w:cs="Arial"/>
          <w:b/>
          <w:bCs/>
          <w:color w:val="0070C0"/>
          <w:sz w:val="24"/>
          <w:szCs w:val="24"/>
        </w:rPr>
        <w:t>772,945,968.44</w:t>
      </w:r>
      <w:r w:rsidRPr="0018215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F3277E8" w14:textId="77777777" w:rsidR="00C16E9F" w:rsidRDefault="00C16E9F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17"/>
        <w:gridCol w:w="1243"/>
        <w:gridCol w:w="900"/>
        <w:gridCol w:w="1252"/>
        <w:gridCol w:w="1253"/>
        <w:gridCol w:w="1253"/>
        <w:gridCol w:w="1253"/>
        <w:gridCol w:w="1366"/>
      </w:tblGrid>
      <w:tr w:rsidR="00590DC9" w:rsidRPr="00590DC9" w14:paraId="38F20D90" w14:textId="77777777" w:rsidTr="008F1660">
        <w:trPr>
          <w:trHeight w:val="20"/>
          <w:tblHeader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4836EF4" w14:textId="679CDFFE" w:rsidR="00590DC9" w:rsidRPr="00590DC9" w:rsidRDefault="00590DC9" w:rsidP="00590DC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FIELD</w:t>
            </w:r>
            <w:r w:rsidR="008F166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OFFICE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1447503" w14:textId="0864AF49" w:rsidR="00590DC9" w:rsidRPr="00590DC9" w:rsidRDefault="008F1660" w:rsidP="00590DC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STANDBY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FUNDS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A49BCEB" w14:textId="55A7C04C" w:rsidR="00590DC9" w:rsidRPr="00590DC9" w:rsidRDefault="008F1660" w:rsidP="00590DC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STOCKPILE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E1727D" w14:textId="2E21F627" w:rsidR="00590DC9" w:rsidRPr="00590DC9" w:rsidRDefault="008F1660" w:rsidP="00590DC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STANDBY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FUNDS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AND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STOCKPILE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90DC9" w:rsidRPr="00590DC9" w14:paraId="067028F4" w14:textId="77777777" w:rsidTr="008F1660">
        <w:trPr>
          <w:trHeight w:val="20"/>
          <w:tblHeader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1339" w14:textId="77777777" w:rsidR="00590DC9" w:rsidRPr="00590DC9" w:rsidRDefault="00590DC9" w:rsidP="00590DC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373E" w14:textId="77777777" w:rsidR="00590DC9" w:rsidRPr="00590DC9" w:rsidRDefault="00590DC9" w:rsidP="00590DC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5A010E94" w14:textId="446D2AF4" w:rsidR="00590DC9" w:rsidRPr="00590DC9" w:rsidRDefault="008F1660" w:rsidP="00590DC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Family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Food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Packs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599216C" w14:textId="1926F01C" w:rsidR="00590DC9" w:rsidRPr="00590DC9" w:rsidRDefault="008F1660" w:rsidP="00590DC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Other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Food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Items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EA42E63" w14:textId="3433EC84" w:rsidR="00590DC9" w:rsidRPr="00590DC9" w:rsidRDefault="008F1660" w:rsidP="00590DC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Non-Food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Items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B945312" w14:textId="35FC0DE7" w:rsidR="00590DC9" w:rsidRPr="00590DC9" w:rsidRDefault="008F1660" w:rsidP="00590DC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Sub-Total</w:t>
            </w:r>
            <w:r w:rsidR="00590DC9"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br/>
              <w:t>(Food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and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NFIs)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C1D8" w14:textId="77777777" w:rsidR="00590DC9" w:rsidRPr="00590DC9" w:rsidRDefault="00590DC9" w:rsidP="00590DC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0DC9" w:rsidRPr="00590DC9" w14:paraId="7F58BFF0" w14:textId="77777777" w:rsidTr="008F1660">
        <w:trPr>
          <w:trHeight w:val="20"/>
          <w:tblHeader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D5EF" w14:textId="77777777" w:rsidR="00590DC9" w:rsidRPr="00590DC9" w:rsidRDefault="00590DC9" w:rsidP="00590DC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FBA2" w14:textId="77777777" w:rsidR="00590DC9" w:rsidRPr="00590DC9" w:rsidRDefault="00590DC9" w:rsidP="00590DC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CA8261C" w14:textId="7DB81A14" w:rsidR="00590DC9" w:rsidRPr="00590DC9" w:rsidRDefault="008F1660" w:rsidP="00590DC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Quantity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CAB2BF" w14:textId="299E132B" w:rsidR="00590DC9" w:rsidRPr="00590DC9" w:rsidRDefault="008F1660" w:rsidP="00590DC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Cost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384607" w14:textId="6C052635" w:rsidR="00590DC9" w:rsidRPr="00590DC9" w:rsidRDefault="008F1660" w:rsidP="00590DC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Cost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9E36DB5" w14:textId="6C735ADB" w:rsidR="00590DC9" w:rsidRPr="00590DC9" w:rsidRDefault="008F1660" w:rsidP="00590DC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Cost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99A2" w14:textId="77777777" w:rsidR="00590DC9" w:rsidRPr="00590DC9" w:rsidRDefault="00590DC9" w:rsidP="00590DC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D6BD" w14:textId="77777777" w:rsidR="00590DC9" w:rsidRPr="00590DC9" w:rsidRDefault="00590DC9" w:rsidP="00590DC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0DC9" w:rsidRPr="00590DC9" w14:paraId="21B680FE" w14:textId="77777777" w:rsidTr="00973447">
        <w:trPr>
          <w:trHeight w:val="2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84BA2" w14:textId="77777777" w:rsidR="00590DC9" w:rsidRPr="00590DC9" w:rsidRDefault="00590DC9" w:rsidP="00590DC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A39A1" w14:textId="3D0C8AB2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420,398,277.60</w:t>
            </w:r>
            <w:r w:rsidR="008F166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519CAC" w14:textId="7AE3E802" w:rsidR="00590DC9" w:rsidRPr="00590DC9" w:rsidRDefault="00590DC9" w:rsidP="00590DC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320,019</w:t>
            </w:r>
            <w:r w:rsidR="008F166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F43B64" w14:textId="4063962D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127,671,978.26</w:t>
            </w:r>
            <w:r w:rsidR="008F166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973B0D" w14:textId="561033DC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175,380,884.67</w:t>
            </w:r>
            <w:r w:rsidR="008F166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145C1" w14:textId="6072BD23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597,565,083.77</w:t>
            </w:r>
            <w:r w:rsidR="008F166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9DC366" w14:textId="1290DA03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772,945,968.44</w:t>
            </w:r>
            <w:r w:rsidR="008F166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5DE210" w14:textId="0DD2DD7F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1,321,016,224.30</w:t>
            </w:r>
            <w:r w:rsidR="008F166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90DC9" w:rsidRPr="00590DC9" w14:paraId="7F8092D9" w14:textId="77777777" w:rsidTr="00590DC9">
        <w:trPr>
          <w:trHeight w:val="2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6085" w14:textId="17D7D92E" w:rsidR="00590DC9" w:rsidRPr="00590DC9" w:rsidRDefault="00590DC9" w:rsidP="00590DC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Central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Office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BCC3" w14:textId="58DD2927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379,175,082.35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54CA" w14:textId="74B31141" w:rsidR="00590DC9" w:rsidRPr="00590DC9" w:rsidRDefault="008F1660" w:rsidP="008F16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9BF4" w14:textId="533261CF" w:rsidR="00590DC9" w:rsidRPr="00590DC9" w:rsidRDefault="008F1660" w:rsidP="008F16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BFED" w14:textId="6411F176" w:rsidR="00590DC9" w:rsidRPr="00590DC9" w:rsidRDefault="008F1660" w:rsidP="008F16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AA3C" w14:textId="20BCCC89" w:rsidR="00590DC9" w:rsidRPr="00590DC9" w:rsidRDefault="008F1660" w:rsidP="008F16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900D" w14:textId="32B6DB8C" w:rsidR="00590DC9" w:rsidRPr="00590DC9" w:rsidRDefault="008F1660" w:rsidP="008F16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E471" w14:textId="5EFF4D6D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379,175,082.35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90DC9" w:rsidRPr="00590DC9" w14:paraId="79063EAB" w14:textId="77777777" w:rsidTr="00590DC9">
        <w:trPr>
          <w:trHeight w:val="2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79D5" w14:textId="77777777" w:rsidR="00590DC9" w:rsidRPr="00590DC9" w:rsidRDefault="00590DC9" w:rsidP="00590DC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lastRenderedPageBreak/>
              <w:t>NRLMB-NROC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A28B" w14:textId="7B7A2D0C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70E3" w14:textId="5858D4DC" w:rsidR="00590DC9" w:rsidRPr="00590DC9" w:rsidRDefault="00590DC9" w:rsidP="00590DC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110,817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7C65" w14:textId="64F51892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49,277,147.90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16EA" w14:textId="42611BEE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85,666,485.55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0253" w14:textId="22F0A8FC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346,507,018.64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F29C" w14:textId="6E7BAA2A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432,173,504.19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16F2" w14:textId="309DD106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481,450,652.09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90DC9" w:rsidRPr="00590DC9" w14:paraId="22CE6F9D" w14:textId="77777777" w:rsidTr="00590DC9">
        <w:trPr>
          <w:trHeight w:val="2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1084" w14:textId="77777777" w:rsidR="00590DC9" w:rsidRPr="00590DC9" w:rsidRDefault="00590DC9" w:rsidP="00590DC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NRLMB-VDRC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9576" w14:textId="701044B7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8CEF" w14:textId="30487465" w:rsidR="00590DC9" w:rsidRPr="00590DC9" w:rsidRDefault="00590DC9" w:rsidP="00590DC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9,000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8816" w14:textId="0ACE1A87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3,240,000.00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96F8" w14:textId="63029069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23,541,007.73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A646" w14:textId="47A63C72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8,783,294.00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A0C7" w14:textId="27F0AAE3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32,324,301.73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A17F" w14:textId="4ED2AA49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35,564,301.73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90DC9" w:rsidRPr="00590DC9" w14:paraId="3666E02E" w14:textId="77777777" w:rsidTr="00590DC9">
        <w:trPr>
          <w:trHeight w:val="2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91C8" w14:textId="77777777" w:rsidR="00590DC9" w:rsidRPr="00590DC9" w:rsidRDefault="00590DC9" w:rsidP="00590DC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84E3" w14:textId="3ADB4026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3,000,752.75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F380" w14:textId="03150236" w:rsidR="00590DC9" w:rsidRPr="00590DC9" w:rsidRDefault="00590DC9" w:rsidP="00590DC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4,514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32B8" w14:textId="72B32729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1,702,409.96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7FAD" w14:textId="304E8AFE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2,725,567.60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10F4" w14:textId="662F9BE0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41,240,224.78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12EC" w14:textId="67E81C04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43,965,792.38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96A3" w14:textId="482701AE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48,668,955.09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90DC9" w:rsidRPr="00590DC9" w14:paraId="0F9D948C" w14:textId="77777777" w:rsidTr="00590DC9">
        <w:trPr>
          <w:trHeight w:val="2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23F2" w14:textId="77777777" w:rsidR="00590DC9" w:rsidRPr="00590DC9" w:rsidRDefault="00590DC9" w:rsidP="00590DC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CF96" w14:textId="7047CBB2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2,477,816.92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6AB6" w14:textId="76DEFD8A" w:rsidR="00590DC9" w:rsidRPr="00590DC9" w:rsidRDefault="00590DC9" w:rsidP="00590DC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7,714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8AF4" w14:textId="2B8F5807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2,653,910.28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8D62" w14:textId="2C326568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5,107,814.00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9ACD" w14:textId="702F2444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177,919.59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9F24" w14:textId="2272E8AF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5,285,733.59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D471" w14:textId="39DB1A25" w:rsidR="00590DC9" w:rsidRPr="00590DC9" w:rsidRDefault="00590DC9" w:rsidP="008F16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10,417,460.79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90DC9" w:rsidRPr="00590DC9" w14:paraId="66F61A7E" w14:textId="77777777" w:rsidTr="00590DC9">
        <w:trPr>
          <w:trHeight w:val="2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79C1" w14:textId="77777777" w:rsidR="00590DC9" w:rsidRPr="00590DC9" w:rsidRDefault="00590DC9" w:rsidP="00590DC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B21B" w14:textId="3EEFAE7F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2,484,557.00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C393" w14:textId="5ECA5AE6" w:rsidR="00590DC9" w:rsidRPr="00590DC9" w:rsidRDefault="00590DC9" w:rsidP="00590DC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26,177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AB5A" w14:textId="7B204EC7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10,118,127.62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8A71" w14:textId="0E3A718A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355,719.70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D65B" w14:textId="094DDB9E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259,588.00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61EF" w14:textId="0B6F764F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615,307.70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F7D9" w14:textId="67464A91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13,217,992.32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90DC9" w:rsidRPr="00590DC9" w14:paraId="529E75A0" w14:textId="77777777" w:rsidTr="00590DC9">
        <w:trPr>
          <w:trHeight w:val="2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4BBD" w14:textId="77777777" w:rsidR="00590DC9" w:rsidRPr="00590DC9" w:rsidRDefault="00590DC9" w:rsidP="00590DC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CALABARZON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3DB8" w14:textId="4E2C0191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3,000,000.00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8E30" w14:textId="3570A0F0" w:rsidR="00590DC9" w:rsidRPr="00590DC9" w:rsidRDefault="00590DC9" w:rsidP="00590DC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3,534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B92E" w14:textId="321EDC1A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1,266,406.44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E95D" w14:textId="30D7FC18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4,756,639.32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4B7B" w14:textId="2FD171DA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6,639,202.71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9E74" w14:textId="35A1C70C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11,395,842.03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89C8" w14:textId="21234164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15,662,248.47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90DC9" w:rsidRPr="00590DC9" w14:paraId="4821AECD" w14:textId="77777777" w:rsidTr="00590DC9">
        <w:trPr>
          <w:trHeight w:val="2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6F44" w14:textId="77777777" w:rsidR="00590DC9" w:rsidRPr="00590DC9" w:rsidRDefault="00590DC9" w:rsidP="00590DC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MIMAROPA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4C03" w14:textId="1CB75DEA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1,754,714.78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CD6E" w14:textId="69A9913B" w:rsidR="00590DC9" w:rsidRPr="00590DC9" w:rsidRDefault="008F1660" w:rsidP="00590DC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18,771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D398" w14:textId="171D1DCF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7,846,278.00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57DE" w14:textId="67D720B2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3,654,739.72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BDD6" w14:textId="08B6939C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859,605.00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7A95" w14:textId="117BEED9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4,514,344.72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76AD" w14:textId="39F26B71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14,115,337.50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90DC9" w:rsidRPr="00590DC9" w14:paraId="14196300" w14:textId="77777777" w:rsidTr="00590DC9">
        <w:trPr>
          <w:trHeight w:val="2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D426" w14:textId="77777777" w:rsidR="00590DC9" w:rsidRPr="00590DC9" w:rsidRDefault="00590DC9" w:rsidP="00590DC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A24D" w14:textId="20CDBC1B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3,000,000.00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3E69" w14:textId="76D19126" w:rsidR="00590DC9" w:rsidRPr="00590DC9" w:rsidRDefault="008F1660" w:rsidP="00590DC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21,509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2532" w14:textId="672C0523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8,240,941.50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F450" w14:textId="5B85C92E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3,715,716.80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725C" w14:textId="0AE773C1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40,993,868.97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1055" w14:textId="28F39063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44,709,585.77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6FB7" w14:textId="1BB44E3D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55,950,527.27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90DC9" w:rsidRPr="00590DC9" w14:paraId="7A32CD0A" w14:textId="77777777" w:rsidTr="00590DC9">
        <w:trPr>
          <w:trHeight w:val="2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AE39" w14:textId="77777777" w:rsidR="00590DC9" w:rsidRPr="00590DC9" w:rsidRDefault="00590DC9" w:rsidP="00590DC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VI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9587" w14:textId="28DB6D9C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1,400,400.00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2733" w14:textId="59818627" w:rsidR="00590DC9" w:rsidRPr="00590DC9" w:rsidRDefault="008F1660" w:rsidP="00590DC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5,338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8A20" w14:textId="06E6F7D9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1,926,616.32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A2C0" w14:textId="3F45ECCF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10,035,521.50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7145" w14:textId="0C4E78CF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7,027,048.20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55E3" w14:textId="37F3CB38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17,062,569.70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9591" w14:textId="47100122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20,389,586.02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90DC9" w:rsidRPr="00590DC9" w14:paraId="42FF131D" w14:textId="77777777" w:rsidTr="00590DC9">
        <w:trPr>
          <w:trHeight w:val="2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F205" w14:textId="77777777" w:rsidR="00590DC9" w:rsidRPr="00590DC9" w:rsidRDefault="00590DC9" w:rsidP="00590DC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672E" w14:textId="4C8DBE99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46D9" w14:textId="7E0DC51F" w:rsidR="00590DC9" w:rsidRPr="00590DC9" w:rsidRDefault="008F1660" w:rsidP="00590DC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4,915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C57A" w14:textId="02069C40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1,769,400.00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C092" w14:textId="407CC224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8,254,983.47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866B" w14:textId="0802F83B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17,509,590.52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8793" w14:textId="239F2EA6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25,764,573.99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B792" w14:textId="21022891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27,533,973.99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90DC9" w:rsidRPr="00590DC9" w14:paraId="395D8DF9" w14:textId="77777777" w:rsidTr="00590DC9">
        <w:trPr>
          <w:trHeight w:val="2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066B" w14:textId="77777777" w:rsidR="00590DC9" w:rsidRPr="00590DC9" w:rsidRDefault="00590DC9" w:rsidP="00590DC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0A45" w14:textId="6A589DF9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3,001,960.00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B2EA" w14:textId="15A462AC" w:rsidR="00590DC9" w:rsidRPr="00590DC9" w:rsidRDefault="008F1660" w:rsidP="00590DC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29,523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772D" w14:textId="44F7730E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10,670,202.66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CDB8" w14:textId="7CE6E333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1,331,639.16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DF04" w14:textId="3DF23982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1,210,683.00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67C2" w14:textId="14B38C97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2,542,322.16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4602" w14:textId="4F1DD069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16,214,484.82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90DC9" w:rsidRPr="00590DC9" w14:paraId="0572ADA5" w14:textId="77777777" w:rsidTr="00590DC9">
        <w:trPr>
          <w:trHeight w:val="2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5BBA" w14:textId="77777777" w:rsidR="00590DC9" w:rsidRPr="00590DC9" w:rsidRDefault="00590DC9" w:rsidP="00590DC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IX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D958" w14:textId="11C58627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2,780,581.35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D897" w14:textId="24200716" w:rsidR="00590DC9" w:rsidRPr="00590DC9" w:rsidRDefault="008F1660" w:rsidP="00590DC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17,851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E79B" w14:textId="522ADE81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6,426,360.00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FB7B" w14:textId="41369084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2,425,410.00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4CD0" w14:textId="4A3CF9F7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3,793,242.65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AB12" w14:textId="3208EA30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6,218,652.65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8D68" w14:textId="0CEF4A31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15,425,594.00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90DC9" w:rsidRPr="00590DC9" w14:paraId="6AD4962A" w14:textId="77777777" w:rsidTr="00590DC9">
        <w:trPr>
          <w:trHeight w:val="2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44C5" w14:textId="77777777" w:rsidR="00590DC9" w:rsidRPr="00590DC9" w:rsidRDefault="00590DC9" w:rsidP="00590DC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0B64" w14:textId="466145EA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3,000,000.00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BC4A" w14:textId="4091CE74" w:rsidR="00590DC9" w:rsidRPr="00590DC9" w:rsidRDefault="008F1660" w:rsidP="00590DC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19,912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4F3B" w14:textId="753F208F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7,304,085.94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56F0" w14:textId="388BB888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5,893,823.00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FA1F" w14:textId="7328AC11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98,529,822.16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554D" w14:textId="2C6492C1" w:rsidR="00590DC9" w:rsidRPr="00590DC9" w:rsidRDefault="00590DC9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104,423,645.16</w:t>
            </w:r>
            <w:r w:rsidR="008F166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1CE0" w14:textId="7147811C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114,727,731.10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90DC9" w:rsidRPr="00590DC9" w14:paraId="3E616F88" w14:textId="77777777" w:rsidTr="00590DC9">
        <w:trPr>
          <w:trHeight w:val="2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AC76" w14:textId="77777777" w:rsidR="00590DC9" w:rsidRPr="00590DC9" w:rsidRDefault="00590DC9" w:rsidP="00590DC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XI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1798" w14:textId="7A389FBF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3,028,750.00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C4EA" w14:textId="0E613925" w:rsidR="00590DC9" w:rsidRPr="00590DC9" w:rsidRDefault="008F1660" w:rsidP="00590DC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7,264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FC4E" w14:textId="53FC7C7B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2,625,209.60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1820" w14:textId="7A04A1C1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4,960,400.00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4AA9" w14:textId="72EBF225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10,855,443.49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F05E" w14:textId="7B3B34AB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15,815,843.49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F7C1" w14:textId="67429851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21,469,803.09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90DC9" w:rsidRPr="00590DC9" w14:paraId="672020D2" w14:textId="77777777" w:rsidTr="00590DC9">
        <w:trPr>
          <w:trHeight w:val="2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9062" w14:textId="77777777" w:rsidR="00590DC9" w:rsidRPr="00590DC9" w:rsidRDefault="00590DC9" w:rsidP="00590DC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XII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C4D6" w14:textId="3E7744F3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3,000,433.00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194A" w14:textId="3577F430" w:rsidR="00590DC9" w:rsidRPr="00590DC9" w:rsidRDefault="008F1660" w:rsidP="00590DC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4,603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F3AB" w14:textId="367EAB58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1,845,803.00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9B0C" w14:textId="3995AE98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2,103,532.67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F07B" w14:textId="7BDC9D1F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912,957.26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5F5A" w14:textId="08ABB65F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3,016,489.93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A9CD" w14:textId="4CE9E651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7,862,725.93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90DC9" w:rsidRPr="00590DC9" w14:paraId="0BD57E96" w14:textId="77777777" w:rsidTr="00590DC9">
        <w:trPr>
          <w:trHeight w:val="2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0229" w14:textId="77777777" w:rsidR="00590DC9" w:rsidRPr="00590DC9" w:rsidRDefault="00590DC9" w:rsidP="00590DC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CARAGA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D1FD" w14:textId="7E6A4484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3,000,000.00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8A62" w14:textId="23EDA9B9" w:rsidR="00590DC9" w:rsidRPr="00590DC9" w:rsidRDefault="008F1660" w:rsidP="00590DC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11,585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C9A4" w14:textId="52723C17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4,224,707.70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4BC0" w14:textId="5FD05197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2,301,902.90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0747" w14:textId="64D98C6F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6,355,495.95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F273" w14:textId="2F06ED03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8,657,398.85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26CD" w14:textId="1A893153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15,882,106.55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90DC9" w:rsidRPr="00590DC9" w14:paraId="05297D1B" w14:textId="77777777" w:rsidTr="00590DC9">
        <w:trPr>
          <w:trHeight w:val="2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FA90" w14:textId="77777777" w:rsidR="00590DC9" w:rsidRPr="00590DC9" w:rsidRDefault="00590DC9" w:rsidP="00590DC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NCR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3763" w14:textId="78DE4700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3,292,543.50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98F9" w14:textId="7653915D" w:rsidR="00590DC9" w:rsidRPr="00590DC9" w:rsidRDefault="008F1660" w:rsidP="00590DC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1,720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5149" w14:textId="67C37F1D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647,080.24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4CA4" w14:textId="2C54D7EA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1,621,524.15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F15F" w14:textId="0443E5BF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928,770.00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690F" w14:textId="7E06F2E0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2,550,294.15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29FC" w14:textId="667DBFA6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6,489,917.89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90DC9" w:rsidRPr="00590DC9" w14:paraId="22BBD44A" w14:textId="77777777" w:rsidTr="00590DC9">
        <w:trPr>
          <w:trHeight w:val="2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3ACB" w14:textId="77777777" w:rsidR="00590DC9" w:rsidRPr="00590DC9" w:rsidRDefault="00590DC9" w:rsidP="00590DC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CAR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4A3F" w14:textId="7C98C5B0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3,000,685.95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3E30" w14:textId="5D0977AF" w:rsidR="00590DC9" w:rsidRPr="00590DC9" w:rsidRDefault="008F1660" w:rsidP="00590DC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15,272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6F1C" w14:textId="426A9FD1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5,887,291.10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5D6F" w14:textId="1E547C91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6,928,457.40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6A7A" w14:textId="15189DA5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4,981,308.85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AD99" w14:textId="62640FC8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11,909,766.25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BA46" w14:textId="7B676AA7" w:rsidR="00590DC9" w:rsidRPr="00590DC9" w:rsidRDefault="008F1660" w:rsidP="00590DC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590DC9" w:rsidRPr="00590DC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20,797,743.30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FDF54C6" w14:textId="034E8416" w:rsidR="00590DC9" w:rsidRPr="005E3370" w:rsidRDefault="005E3370" w:rsidP="00C431B1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  <w:r w:rsidRPr="005E3370">
        <w:rPr>
          <w:rFonts w:ascii="Arial" w:eastAsia="Arial" w:hAnsi="Arial" w:cs="Arial"/>
          <w:i/>
          <w:sz w:val="16"/>
          <w:szCs w:val="24"/>
        </w:rPr>
        <w:t xml:space="preserve">Note: Standby Funds for Region VII is on process and </w:t>
      </w:r>
      <w:r w:rsidR="00170A71">
        <w:rPr>
          <w:rFonts w:ascii="Arial" w:eastAsia="Arial" w:hAnsi="Arial" w:cs="Arial"/>
          <w:i/>
          <w:sz w:val="16"/>
          <w:szCs w:val="24"/>
        </w:rPr>
        <w:t>for approval.</w:t>
      </w:r>
    </w:p>
    <w:p w14:paraId="5A1B05E8" w14:textId="77777777" w:rsidR="00645972" w:rsidRDefault="00645972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7B26BD0" w14:textId="77777777" w:rsidR="009A7AB7" w:rsidRPr="00C431B1" w:rsidRDefault="009A7AB7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5128131" w14:textId="71311AED" w:rsidR="00C34F52" w:rsidRDefault="00C34F52" w:rsidP="00C34F5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8F1660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21F313AA" w14:textId="77777777" w:rsidR="00C34F52" w:rsidRDefault="00C34F52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6F48EA" w14:textId="77777777" w:rsidR="001149A2" w:rsidRPr="00C431B1" w:rsidRDefault="001149A2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C431B1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F2514BF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C431B1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7B33178" w:rsidR="00985089" w:rsidRPr="008551A9" w:rsidRDefault="008551A9" w:rsidP="008551A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15</w:t>
            </w:r>
            <w:r w:rsidR="008F166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4"/>
              </w:rPr>
              <w:t>A</w:t>
            </w:r>
            <w:r w:rsidR="008816E5" w:rsidRPr="008551A9">
              <w:rPr>
                <w:rFonts w:ascii="Arial" w:eastAsia="Arial" w:hAnsi="Arial" w:cs="Arial"/>
                <w:sz w:val="20"/>
                <w:szCs w:val="24"/>
              </w:rPr>
              <w:t>pril</w:t>
            </w:r>
            <w:r w:rsidR="008F166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093334" w:rsidRPr="008551A9">
              <w:rPr>
                <w:rFonts w:ascii="Arial" w:eastAsia="Arial" w:hAnsi="Arial" w:cs="Arial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D4A5D8F" w:rsidR="007A0CCF" w:rsidRPr="008551A9" w:rsidRDefault="00E97EC4" w:rsidP="008551A9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3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6638C4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8F166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638C4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8F166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638C4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8F166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638C4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8F166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638C4">
              <w:rPr>
                <w:rFonts w:ascii="Arial" w:eastAsia="Arial" w:hAnsi="Arial" w:cs="Arial"/>
                <w:sz w:val="20"/>
                <w:szCs w:val="24"/>
              </w:rPr>
              <w:t>Monitoring</w:t>
            </w:r>
            <w:r w:rsidR="008F166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638C4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8F166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638C4">
              <w:rPr>
                <w:rFonts w:ascii="Arial" w:eastAsia="Arial" w:hAnsi="Arial" w:cs="Arial"/>
                <w:sz w:val="20"/>
                <w:szCs w:val="24"/>
              </w:rPr>
              <w:t>Information</w:t>
            </w:r>
            <w:r w:rsidR="008F166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638C4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8F166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638C4">
              <w:rPr>
                <w:rFonts w:ascii="Arial" w:eastAsia="Arial" w:hAnsi="Arial" w:cs="Arial"/>
                <w:sz w:val="20"/>
                <w:szCs w:val="24"/>
              </w:rPr>
              <w:t>(DROMIC)</w:t>
            </w:r>
            <w:r w:rsidR="008F166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638C4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8F166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638C4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8F166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638C4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8F166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7A0CCF">
              <w:rPr>
                <w:rFonts w:ascii="Arial" w:eastAsia="Arial" w:hAnsi="Arial" w:cs="Arial"/>
                <w:sz w:val="20"/>
                <w:szCs w:val="24"/>
              </w:rPr>
              <w:t>is</w:t>
            </w:r>
            <w:r w:rsidR="008F166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638C4">
              <w:rPr>
                <w:rFonts w:ascii="Arial" w:eastAsia="Arial" w:hAnsi="Arial" w:cs="Arial"/>
                <w:sz w:val="20"/>
                <w:szCs w:val="24"/>
              </w:rPr>
              <w:t>closely</w:t>
            </w:r>
            <w:r w:rsidR="008F166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7A0CCF">
              <w:rPr>
                <w:rFonts w:ascii="Arial" w:eastAsia="Arial" w:hAnsi="Arial" w:cs="Arial"/>
                <w:sz w:val="20"/>
                <w:szCs w:val="24"/>
              </w:rPr>
              <w:t>coordinating</w:t>
            </w:r>
            <w:r w:rsidR="008F166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638C4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8F166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7A0CCF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8F166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7A0CCF">
              <w:rPr>
                <w:rFonts w:ascii="Arial" w:eastAsia="Arial" w:hAnsi="Arial" w:cs="Arial"/>
                <w:sz w:val="20"/>
                <w:szCs w:val="24"/>
              </w:rPr>
              <w:t>DSWD</w:t>
            </w:r>
            <w:r w:rsidR="008F166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7A0CCF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8F166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7A0CCF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 w:rsidR="008F166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638C4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8F166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638C4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8F166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8551A9">
              <w:rPr>
                <w:rFonts w:ascii="Arial" w:eastAsia="Arial" w:hAnsi="Arial" w:cs="Arial"/>
                <w:sz w:val="20"/>
                <w:szCs w:val="24"/>
              </w:rPr>
              <w:t>updates</w:t>
            </w:r>
            <w:r w:rsidR="008F166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8551A9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8F166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8551A9">
              <w:rPr>
                <w:rFonts w:ascii="Arial" w:eastAsia="Arial" w:hAnsi="Arial" w:cs="Arial"/>
                <w:sz w:val="20"/>
                <w:szCs w:val="24"/>
              </w:rPr>
              <w:t>preparedness</w:t>
            </w:r>
            <w:r w:rsidR="008F166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8551A9">
              <w:rPr>
                <w:rFonts w:ascii="Arial" w:eastAsia="Arial" w:hAnsi="Arial" w:cs="Arial"/>
                <w:sz w:val="20"/>
                <w:szCs w:val="24"/>
              </w:rPr>
              <w:t>level</w:t>
            </w:r>
            <w:r w:rsidR="008F166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8551A9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8F166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8551A9">
              <w:rPr>
                <w:rFonts w:ascii="Arial" w:eastAsia="Arial" w:hAnsi="Arial" w:cs="Arial"/>
                <w:sz w:val="20"/>
                <w:szCs w:val="24"/>
              </w:rPr>
              <w:t>actions</w:t>
            </w:r>
            <w:r w:rsidR="008F166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8551A9">
              <w:rPr>
                <w:rFonts w:ascii="Arial" w:eastAsia="Arial" w:hAnsi="Arial" w:cs="Arial"/>
                <w:sz w:val="20"/>
                <w:szCs w:val="24"/>
              </w:rPr>
              <w:t>taken.</w:t>
            </w:r>
          </w:p>
        </w:tc>
      </w:tr>
    </w:tbl>
    <w:p w14:paraId="1C01AC28" w14:textId="77777777" w:rsidR="00E97EC4" w:rsidRPr="00C431B1" w:rsidRDefault="00E97EC4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4775AC" w14:textId="1A4B37FC" w:rsidR="003A6817" w:rsidRPr="00C431B1" w:rsidRDefault="003A6817" w:rsidP="003A681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>DSWD-FO</w:t>
      </w:r>
      <w:r w:rsidR="008F166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3A6817" w:rsidRPr="00C431B1" w14:paraId="794AE7D9" w14:textId="77777777" w:rsidTr="008F1660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7A3A20" w14:textId="77777777" w:rsidR="003A6817" w:rsidRPr="00C431B1" w:rsidRDefault="003A6817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14B405" w14:textId="607383BA" w:rsidR="003A6817" w:rsidRPr="00C431B1" w:rsidRDefault="003A6817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A6817" w:rsidRPr="00C431B1" w14:paraId="7C8B24BE" w14:textId="77777777" w:rsidTr="008F166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AD6D56" w14:textId="6B3EC3D8" w:rsidR="003A6817" w:rsidRPr="00A15CC7" w:rsidRDefault="003A6817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15</w:t>
            </w:r>
            <w:r w:rsidR="008F16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April</w:t>
            </w:r>
            <w:r w:rsidR="008F16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36278F" w14:textId="46C1ED69" w:rsidR="003A6817" w:rsidRDefault="00EB31D4" w:rsidP="008F1660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NCR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through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its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DRMD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QRT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leaders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monitoring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daily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weather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conditions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other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emergencies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through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telephone,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internet,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mobile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phone,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etc.</w:t>
            </w:r>
          </w:p>
          <w:p w14:paraId="5B16BB0F" w14:textId="25151C2B" w:rsidR="00EB31D4" w:rsidRDefault="00EB31D4" w:rsidP="00EB31D4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Planning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Section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DSWD-FO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NCR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DROMIC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Focal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Person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are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assigned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prepare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consolidation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disaster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reports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during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24-hour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monitoring.</w:t>
            </w:r>
          </w:p>
          <w:p w14:paraId="5475F306" w14:textId="69D4B1EE" w:rsidR="00EB31D4" w:rsidRDefault="0097124E" w:rsidP="00EB31D4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NCR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continues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provide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DAFAC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requesting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LGUs.</w:t>
            </w:r>
          </w:p>
          <w:p w14:paraId="1D485FAD" w14:textId="32650328" w:rsidR="0097124E" w:rsidRPr="006C6E52" w:rsidRDefault="0097124E" w:rsidP="00246C19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QRTs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DSWD-FO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NCR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46C19">
              <w:rPr>
                <w:rFonts w:ascii="Arial" w:hAnsi="Arial" w:cs="Arial"/>
                <w:color w:val="0070C0"/>
                <w:sz w:val="20"/>
                <w:szCs w:val="20"/>
              </w:rPr>
              <w:t>are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46C19">
              <w:rPr>
                <w:rFonts w:ascii="Arial" w:hAnsi="Arial" w:cs="Arial"/>
                <w:color w:val="0070C0"/>
                <w:sz w:val="20"/>
                <w:szCs w:val="20"/>
              </w:rPr>
              <w:t>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46C19">
              <w:rPr>
                <w:rFonts w:ascii="Arial" w:hAnsi="Arial" w:cs="Arial"/>
                <w:color w:val="0070C0"/>
                <w:sz w:val="20"/>
                <w:szCs w:val="20"/>
              </w:rPr>
              <w:t>standby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46C19">
              <w:rPr>
                <w:rFonts w:ascii="Arial" w:hAnsi="Arial" w:cs="Arial"/>
                <w:color w:val="0070C0"/>
                <w:sz w:val="20"/>
                <w:szCs w:val="20"/>
              </w:rPr>
              <w:t>alert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46C19"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46C19">
              <w:rPr>
                <w:rFonts w:ascii="Arial" w:hAnsi="Arial" w:cs="Arial"/>
                <w:color w:val="0070C0"/>
                <w:sz w:val="20"/>
                <w:szCs w:val="20"/>
              </w:rPr>
              <w:t>will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46C19">
              <w:rPr>
                <w:rFonts w:ascii="Arial" w:hAnsi="Arial" w:cs="Arial"/>
                <w:color w:val="0070C0"/>
                <w:sz w:val="20"/>
                <w:szCs w:val="20"/>
              </w:rPr>
              <w:t>be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46C19">
              <w:rPr>
                <w:rFonts w:ascii="Arial" w:hAnsi="Arial" w:cs="Arial"/>
                <w:color w:val="0070C0"/>
                <w:sz w:val="20"/>
                <w:szCs w:val="20"/>
              </w:rPr>
              <w:t>activated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46C19">
              <w:rPr>
                <w:rFonts w:ascii="Arial" w:hAnsi="Arial" w:cs="Arial"/>
                <w:color w:val="0070C0"/>
                <w:sz w:val="20"/>
                <w:szCs w:val="20"/>
              </w:rPr>
              <w:t>in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46C19">
              <w:rPr>
                <w:rFonts w:ascii="Arial" w:hAnsi="Arial" w:cs="Arial"/>
                <w:color w:val="0070C0"/>
                <w:sz w:val="20"/>
                <w:szCs w:val="20"/>
              </w:rPr>
              <w:t>response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46C19"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46C19">
              <w:rPr>
                <w:rFonts w:ascii="Arial" w:hAnsi="Arial" w:cs="Arial"/>
                <w:color w:val="0070C0"/>
                <w:sz w:val="20"/>
                <w:szCs w:val="20"/>
              </w:rPr>
              <w:t>any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46C19">
              <w:rPr>
                <w:rFonts w:ascii="Arial" w:hAnsi="Arial" w:cs="Arial"/>
                <w:color w:val="0070C0"/>
                <w:sz w:val="20"/>
                <w:szCs w:val="20"/>
              </w:rPr>
              <w:t>eventualities.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46C19">
              <w:rPr>
                <w:rFonts w:ascii="Arial" w:hAnsi="Arial" w:cs="Arial"/>
                <w:color w:val="0070C0"/>
                <w:sz w:val="20"/>
                <w:szCs w:val="20"/>
              </w:rPr>
              <w:t>Assignment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46C19"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46C19">
              <w:rPr>
                <w:rFonts w:ascii="Arial" w:hAnsi="Arial" w:cs="Arial"/>
                <w:color w:val="0070C0"/>
                <w:sz w:val="20"/>
                <w:szCs w:val="20"/>
              </w:rPr>
              <w:t>staff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46C19">
              <w:rPr>
                <w:rFonts w:ascii="Arial" w:hAnsi="Arial" w:cs="Arial"/>
                <w:color w:val="0070C0"/>
                <w:sz w:val="20"/>
                <w:szCs w:val="20"/>
              </w:rPr>
              <w:t>is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46C19">
              <w:rPr>
                <w:rFonts w:ascii="Arial" w:hAnsi="Arial" w:cs="Arial"/>
                <w:color w:val="0070C0"/>
                <w:sz w:val="20"/>
                <w:szCs w:val="20"/>
              </w:rPr>
              <w:t>scheduled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46C19">
              <w:rPr>
                <w:rFonts w:ascii="Arial" w:hAnsi="Arial" w:cs="Arial"/>
                <w:color w:val="0070C0"/>
                <w:sz w:val="20"/>
                <w:szCs w:val="20"/>
              </w:rPr>
              <w:t>per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46C19">
              <w:rPr>
                <w:rFonts w:ascii="Arial" w:hAnsi="Arial" w:cs="Arial"/>
                <w:color w:val="0070C0"/>
                <w:sz w:val="20"/>
                <w:szCs w:val="20"/>
              </w:rPr>
              <w:t>day.</w:t>
            </w:r>
          </w:p>
        </w:tc>
      </w:tr>
    </w:tbl>
    <w:p w14:paraId="010D965F" w14:textId="4BF9213E" w:rsidR="003A6817" w:rsidRPr="00C431B1" w:rsidRDefault="003A6817" w:rsidP="003A681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5977573E" w14:textId="1DA9AB46" w:rsidR="003F34C4" w:rsidRPr="00C431B1" w:rsidRDefault="003F34C4" w:rsidP="003F34C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>DSWD-FO</w:t>
      </w:r>
      <w:r w:rsidR="008F166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3F34C4" w:rsidRPr="00C431B1" w14:paraId="26DD7A78" w14:textId="77777777" w:rsidTr="008F1660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5AD7A3" w14:textId="77777777" w:rsidR="003F34C4" w:rsidRPr="00C431B1" w:rsidRDefault="003F34C4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0F7A8F" w14:textId="62097145" w:rsidR="003F34C4" w:rsidRPr="00C431B1" w:rsidRDefault="003F34C4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F34C4" w:rsidRPr="00C431B1" w14:paraId="7E3076CD" w14:textId="77777777" w:rsidTr="008F166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B0221E" w14:textId="396619B4" w:rsidR="003F34C4" w:rsidRPr="00A15CC7" w:rsidRDefault="003F34C4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15</w:t>
            </w:r>
            <w:r w:rsidR="008F16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April</w:t>
            </w:r>
            <w:r w:rsidR="008F16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FC9017" w14:textId="0DFE7F27" w:rsidR="003F34C4" w:rsidRPr="006C6E52" w:rsidRDefault="003F34C4" w:rsidP="008F1660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Disaster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Response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Management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Division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(DRMD)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staff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Quick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Action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Response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Team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(QUART)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DSWD-FO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are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standby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observance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Holy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Week.</w:t>
            </w:r>
          </w:p>
        </w:tc>
      </w:tr>
    </w:tbl>
    <w:p w14:paraId="080C458C" w14:textId="77777777" w:rsidR="006C1F39" w:rsidRDefault="006C1F39" w:rsidP="006C1F3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7B7CA98" w14:textId="77777777" w:rsidR="00C540D5" w:rsidRDefault="00C540D5" w:rsidP="006C1F3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0E3FE69" w14:textId="77777777" w:rsidR="00C540D5" w:rsidRDefault="00C540D5" w:rsidP="006C1F3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5A3F023" w14:textId="77777777" w:rsidR="00C540D5" w:rsidRDefault="00C540D5" w:rsidP="006C1F3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D40616F" w14:textId="77777777" w:rsidR="00C540D5" w:rsidRDefault="00C540D5" w:rsidP="006C1F3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9E69652" w14:textId="77777777" w:rsidR="00C540D5" w:rsidRDefault="00C540D5" w:rsidP="006C1F3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E21AE12" w14:textId="77777777" w:rsidR="00C540D5" w:rsidRDefault="00C540D5" w:rsidP="006C1F3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801AE7A" w14:textId="629581F3" w:rsidR="006C1F39" w:rsidRPr="00C431B1" w:rsidRDefault="006C1F39" w:rsidP="006C1F3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>
        <w:rPr>
          <w:rFonts w:ascii="Arial" w:eastAsia="Arial" w:hAnsi="Arial" w:cs="Arial"/>
          <w:b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6C1F39" w:rsidRPr="00C431B1" w14:paraId="55AE8584" w14:textId="77777777" w:rsidTr="00656D9C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8F37A4" w14:textId="77777777" w:rsidR="006C1F39" w:rsidRPr="00C431B1" w:rsidRDefault="006C1F39" w:rsidP="00656D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5666B1" w14:textId="77777777" w:rsidR="006C1F39" w:rsidRPr="00C431B1" w:rsidRDefault="006C1F39" w:rsidP="00656D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6C1F39" w:rsidRPr="00C431B1" w14:paraId="454F4191" w14:textId="77777777" w:rsidTr="00656D9C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450467" w14:textId="77777777" w:rsidR="006C1F39" w:rsidRPr="00A15CC7" w:rsidRDefault="006C1F39" w:rsidP="00656D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15 April </w:t>
            </w:r>
            <w:r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2F1D35" w14:textId="77777777" w:rsidR="006C1F39" w:rsidRDefault="006C1F39" w:rsidP="00656D9C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In view of the observance of the Holy Week for CY 2019, the DSWD Field Office II will raise the alert status as follows based on the Memorandum No. 9 series of 2019 issued by the Chairperson of the Cagayan Valley Regional Disaster Risk Reduction and Management Council, Director Dante D.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Balao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199FE193" w14:textId="77777777" w:rsidR="006C1F39" w:rsidRPr="006C1F39" w:rsidRDefault="006C1F39" w:rsidP="006C1F39">
            <w:pPr>
              <w:widowControl/>
              <w:tabs>
                <w:tab w:val="left" w:pos="360"/>
                <w:tab w:val="left" w:pos="393"/>
              </w:tabs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66"/>
              <w:gridCol w:w="3667"/>
            </w:tblGrid>
            <w:tr w:rsidR="006C1F39" w14:paraId="1BA64B86" w14:textId="77777777" w:rsidTr="006C1F39">
              <w:tc>
                <w:tcPr>
                  <w:tcW w:w="3666" w:type="dxa"/>
                </w:tcPr>
                <w:p w14:paraId="237954D0" w14:textId="40F046B3" w:rsidR="006C1F39" w:rsidRPr="006C1F39" w:rsidRDefault="006C1F39" w:rsidP="006C1F39">
                  <w:pPr>
                    <w:widowControl/>
                    <w:tabs>
                      <w:tab w:val="left" w:pos="360"/>
                      <w:tab w:val="left" w:pos="39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C1F39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3667" w:type="dxa"/>
                </w:tcPr>
                <w:p w14:paraId="00B78642" w14:textId="5CD5182B" w:rsidR="006C1F39" w:rsidRPr="006C1F39" w:rsidRDefault="006C1F39" w:rsidP="006C1F39">
                  <w:pPr>
                    <w:widowControl/>
                    <w:tabs>
                      <w:tab w:val="left" w:pos="360"/>
                      <w:tab w:val="left" w:pos="39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C1F39">
                    <w:rPr>
                      <w:rFonts w:ascii="Arial" w:hAnsi="Arial" w:cs="Arial"/>
                      <w:b/>
                      <w:sz w:val="20"/>
                      <w:szCs w:val="20"/>
                    </w:rPr>
                    <w:t>ALERT STATUS</w:t>
                  </w:r>
                </w:p>
              </w:tc>
            </w:tr>
            <w:tr w:rsidR="006C1F39" w14:paraId="0229D368" w14:textId="77777777" w:rsidTr="006C1F39">
              <w:tc>
                <w:tcPr>
                  <w:tcW w:w="3666" w:type="dxa"/>
                </w:tcPr>
                <w:p w14:paraId="55AC1A56" w14:textId="6274BC75" w:rsidR="006C1F39" w:rsidRPr="00C540D5" w:rsidRDefault="006C1F39" w:rsidP="006C1F39">
                  <w:pPr>
                    <w:widowControl/>
                    <w:tabs>
                      <w:tab w:val="left" w:pos="360"/>
                      <w:tab w:val="left" w:pos="39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40D5">
                    <w:rPr>
                      <w:rFonts w:ascii="Arial" w:hAnsi="Arial" w:cs="Arial"/>
                      <w:sz w:val="20"/>
                      <w:szCs w:val="20"/>
                    </w:rPr>
                    <w:t>April 16 to April 17, 2019</w:t>
                  </w:r>
                </w:p>
              </w:tc>
              <w:tc>
                <w:tcPr>
                  <w:tcW w:w="3667" w:type="dxa"/>
                </w:tcPr>
                <w:p w14:paraId="467B4599" w14:textId="336EB9F5" w:rsidR="006C1F39" w:rsidRPr="00C540D5" w:rsidRDefault="006C1F39" w:rsidP="006C1F39">
                  <w:pPr>
                    <w:widowControl/>
                    <w:tabs>
                      <w:tab w:val="left" w:pos="360"/>
                      <w:tab w:val="left" w:pos="393"/>
                    </w:tabs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C540D5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Blue Alert</w:t>
                  </w:r>
                </w:p>
              </w:tc>
            </w:tr>
            <w:tr w:rsidR="006C1F39" w14:paraId="2F2CBDA9" w14:textId="77777777" w:rsidTr="006C1F39">
              <w:tc>
                <w:tcPr>
                  <w:tcW w:w="3666" w:type="dxa"/>
                </w:tcPr>
                <w:p w14:paraId="3992EAB6" w14:textId="2147F2C0" w:rsidR="006C1F39" w:rsidRPr="00C540D5" w:rsidRDefault="006C1F39" w:rsidP="006C1F39">
                  <w:pPr>
                    <w:widowControl/>
                    <w:tabs>
                      <w:tab w:val="left" w:pos="360"/>
                      <w:tab w:val="left" w:pos="39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40D5">
                    <w:rPr>
                      <w:rFonts w:ascii="Arial" w:hAnsi="Arial" w:cs="Arial"/>
                      <w:sz w:val="20"/>
                      <w:szCs w:val="20"/>
                    </w:rPr>
                    <w:t>April 18 to April 21, 2019</w:t>
                  </w:r>
                </w:p>
              </w:tc>
              <w:tc>
                <w:tcPr>
                  <w:tcW w:w="3667" w:type="dxa"/>
                </w:tcPr>
                <w:p w14:paraId="5443269A" w14:textId="603872CF" w:rsidR="006C1F39" w:rsidRPr="00C540D5" w:rsidRDefault="006C1F39" w:rsidP="006C1F39">
                  <w:pPr>
                    <w:widowControl/>
                    <w:tabs>
                      <w:tab w:val="left" w:pos="360"/>
                      <w:tab w:val="left" w:pos="393"/>
                    </w:tabs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C540D5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Red Alert</w:t>
                  </w:r>
                </w:p>
              </w:tc>
            </w:tr>
            <w:tr w:rsidR="006C1F39" w14:paraId="47373021" w14:textId="77777777" w:rsidTr="006C1F39">
              <w:tc>
                <w:tcPr>
                  <w:tcW w:w="3666" w:type="dxa"/>
                </w:tcPr>
                <w:p w14:paraId="739BA5FB" w14:textId="2B3E493E" w:rsidR="006C1F39" w:rsidRPr="00C540D5" w:rsidRDefault="006C1F39" w:rsidP="006C1F39">
                  <w:pPr>
                    <w:widowControl/>
                    <w:tabs>
                      <w:tab w:val="left" w:pos="360"/>
                      <w:tab w:val="left" w:pos="39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40D5">
                    <w:rPr>
                      <w:rFonts w:ascii="Arial" w:hAnsi="Arial" w:cs="Arial"/>
                      <w:sz w:val="20"/>
                      <w:szCs w:val="20"/>
                    </w:rPr>
                    <w:t>April 22 to April 23, 2019</w:t>
                  </w:r>
                </w:p>
              </w:tc>
              <w:tc>
                <w:tcPr>
                  <w:tcW w:w="3667" w:type="dxa"/>
                </w:tcPr>
                <w:p w14:paraId="353B83AC" w14:textId="0F8C8E8B" w:rsidR="006C1F39" w:rsidRPr="00C540D5" w:rsidRDefault="006C1F39" w:rsidP="006C1F39">
                  <w:pPr>
                    <w:widowControl/>
                    <w:tabs>
                      <w:tab w:val="left" w:pos="360"/>
                      <w:tab w:val="left" w:pos="393"/>
                    </w:tabs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C540D5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Blue Alert</w:t>
                  </w:r>
                </w:p>
              </w:tc>
            </w:tr>
          </w:tbl>
          <w:p w14:paraId="29C6A907" w14:textId="57A1F489" w:rsidR="006C1F39" w:rsidRPr="006C1F39" w:rsidRDefault="006C1F39" w:rsidP="006C1F39">
            <w:pPr>
              <w:widowControl/>
              <w:tabs>
                <w:tab w:val="left" w:pos="360"/>
                <w:tab w:val="left" w:pos="393"/>
              </w:tabs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244A9C5F" w14:textId="59807A9B" w:rsidR="003F34C4" w:rsidRDefault="003F34C4" w:rsidP="003F34C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4FA0B03A" w14:textId="77777777" w:rsidR="006C1F39" w:rsidRPr="00C431B1" w:rsidRDefault="006C1F39" w:rsidP="003F34C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9BEAFDB" w14:textId="559CA4A5" w:rsidR="009B43CB" w:rsidRPr="00C431B1" w:rsidRDefault="009B43CB" w:rsidP="009B43C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>DSWD-FO</w:t>
      </w:r>
      <w:r w:rsidR="008F166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9B43CB" w:rsidRPr="00C431B1" w14:paraId="5F5B680B" w14:textId="77777777" w:rsidTr="008F1660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6D4B5D" w14:textId="77777777" w:rsidR="009B43CB" w:rsidRPr="00C431B1" w:rsidRDefault="009B43CB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F0EA5B" w14:textId="7F5FE0EE" w:rsidR="009B43CB" w:rsidRPr="00C431B1" w:rsidRDefault="009B43CB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B43CB" w:rsidRPr="00C431B1" w14:paraId="43ED8ABA" w14:textId="77777777" w:rsidTr="008F166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B356AC" w14:textId="1D3683F5" w:rsidR="009B43CB" w:rsidRPr="00A15CC7" w:rsidRDefault="009B43CB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15</w:t>
            </w:r>
            <w:r w:rsidR="008F16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April</w:t>
            </w:r>
            <w:r w:rsidR="008F16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193CBC" w14:textId="5548FF18" w:rsidR="009B43CB" w:rsidRDefault="009B43CB" w:rsidP="009B43CB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CALABARZON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through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its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DRMD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closely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coordinating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with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local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government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units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(LGUs)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with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regard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preparedness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for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response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efforts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have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undertaken.</w:t>
            </w:r>
          </w:p>
          <w:p w14:paraId="34EB25D2" w14:textId="5610291E" w:rsidR="009B43CB" w:rsidRDefault="009B43CB" w:rsidP="009B43CB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CALABARZON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ensured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staff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complement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from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DRMD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event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activation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operations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center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during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observance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Holy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Week.</w:t>
            </w:r>
          </w:p>
          <w:p w14:paraId="7958C5DE" w14:textId="6F09B47F" w:rsidR="009B43CB" w:rsidRDefault="009B43CB" w:rsidP="009B43CB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Coordinated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with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SWAD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Offices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five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(5)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provinces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C6901"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C6901"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C6901">
              <w:rPr>
                <w:rFonts w:ascii="Arial" w:hAnsi="Arial" w:cs="Arial"/>
                <w:color w:val="0070C0"/>
                <w:sz w:val="20"/>
                <w:szCs w:val="20"/>
              </w:rPr>
              <w:t>region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C6901"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C6901">
              <w:rPr>
                <w:rFonts w:ascii="Arial" w:hAnsi="Arial" w:cs="Arial"/>
                <w:color w:val="0070C0"/>
                <w:sz w:val="20"/>
                <w:szCs w:val="20"/>
              </w:rPr>
              <w:t>advised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C6901">
              <w:rPr>
                <w:rFonts w:ascii="Arial" w:hAnsi="Arial" w:cs="Arial"/>
                <w:color w:val="0070C0"/>
                <w:sz w:val="20"/>
                <w:szCs w:val="20"/>
              </w:rPr>
              <w:t>them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C6901"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C6901">
              <w:rPr>
                <w:rFonts w:ascii="Arial" w:hAnsi="Arial" w:cs="Arial"/>
                <w:color w:val="0070C0"/>
                <w:sz w:val="20"/>
                <w:szCs w:val="20"/>
              </w:rPr>
              <w:t>monitor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C6901"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C6901">
              <w:rPr>
                <w:rFonts w:ascii="Arial" w:hAnsi="Arial" w:cs="Arial"/>
                <w:color w:val="0070C0"/>
                <w:sz w:val="20"/>
                <w:szCs w:val="20"/>
              </w:rPr>
              <w:t>coordinate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C6901">
              <w:rPr>
                <w:rFonts w:ascii="Arial" w:hAnsi="Arial" w:cs="Arial"/>
                <w:color w:val="0070C0"/>
                <w:sz w:val="20"/>
                <w:szCs w:val="20"/>
              </w:rPr>
              <w:t>with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C6901">
              <w:rPr>
                <w:rFonts w:ascii="Arial" w:hAnsi="Arial" w:cs="Arial"/>
                <w:color w:val="0070C0"/>
                <w:sz w:val="20"/>
                <w:szCs w:val="20"/>
              </w:rPr>
              <w:t>MSWDOs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C6901"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C6901">
              <w:rPr>
                <w:rFonts w:ascii="Arial" w:hAnsi="Arial" w:cs="Arial"/>
                <w:color w:val="0070C0"/>
                <w:sz w:val="20"/>
                <w:szCs w:val="20"/>
              </w:rPr>
              <w:t>gather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C6901">
              <w:rPr>
                <w:rFonts w:ascii="Arial" w:hAnsi="Arial" w:cs="Arial"/>
                <w:color w:val="0070C0"/>
                <w:sz w:val="20"/>
                <w:szCs w:val="20"/>
              </w:rPr>
              <w:t>reports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C6901">
              <w:rPr>
                <w:rFonts w:ascii="Arial" w:hAnsi="Arial" w:cs="Arial"/>
                <w:color w:val="0070C0"/>
                <w:sz w:val="20"/>
                <w:szCs w:val="20"/>
              </w:rPr>
              <w:t>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C6901"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C6901">
              <w:rPr>
                <w:rFonts w:ascii="Arial" w:hAnsi="Arial" w:cs="Arial"/>
                <w:color w:val="0070C0"/>
                <w:sz w:val="20"/>
                <w:szCs w:val="20"/>
              </w:rPr>
              <w:t>preparedness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C6901">
              <w:rPr>
                <w:rFonts w:ascii="Arial" w:hAnsi="Arial" w:cs="Arial"/>
                <w:color w:val="0070C0"/>
                <w:sz w:val="20"/>
                <w:szCs w:val="20"/>
              </w:rPr>
              <w:t>for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C6901">
              <w:rPr>
                <w:rFonts w:ascii="Arial" w:hAnsi="Arial" w:cs="Arial"/>
                <w:color w:val="0070C0"/>
                <w:sz w:val="20"/>
                <w:szCs w:val="20"/>
              </w:rPr>
              <w:t>response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C6901">
              <w:rPr>
                <w:rFonts w:ascii="Arial" w:hAnsi="Arial" w:cs="Arial"/>
                <w:color w:val="0070C0"/>
                <w:sz w:val="20"/>
                <w:szCs w:val="20"/>
              </w:rPr>
              <w:t>efforts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C6901">
              <w:rPr>
                <w:rFonts w:ascii="Arial" w:hAnsi="Arial" w:cs="Arial"/>
                <w:color w:val="0070C0"/>
                <w:sz w:val="20"/>
                <w:szCs w:val="20"/>
              </w:rPr>
              <w:t>undertaken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C6901">
              <w:rPr>
                <w:rFonts w:ascii="Arial" w:hAnsi="Arial" w:cs="Arial"/>
                <w:color w:val="0070C0"/>
                <w:sz w:val="20"/>
                <w:szCs w:val="20"/>
              </w:rPr>
              <w:t>by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C6901"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C6901">
              <w:rPr>
                <w:rFonts w:ascii="Arial" w:hAnsi="Arial" w:cs="Arial"/>
                <w:color w:val="0070C0"/>
                <w:sz w:val="20"/>
                <w:szCs w:val="20"/>
              </w:rPr>
              <w:t>LGUs.</w:t>
            </w:r>
          </w:p>
          <w:p w14:paraId="212FC0DD" w14:textId="33545B1F" w:rsidR="002C6901" w:rsidRDefault="002C6901" w:rsidP="009B43CB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CALABARZON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informed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member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agencies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response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cluster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standby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alert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status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ready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for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mobilization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case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situation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arises.</w:t>
            </w:r>
          </w:p>
          <w:p w14:paraId="71DD8367" w14:textId="4726E93C" w:rsidR="002C6901" w:rsidRDefault="002C6901" w:rsidP="002C6901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Regional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Resource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Operation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Section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(RROS)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alerted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ensure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availability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family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food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packs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non-food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items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should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need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arises.</w:t>
            </w:r>
          </w:p>
          <w:p w14:paraId="64A25D98" w14:textId="5730A006" w:rsidR="002C6901" w:rsidRPr="002D5147" w:rsidRDefault="002C6901" w:rsidP="002C6901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Posting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advisories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sending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text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messages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all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QRT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leaders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alert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standby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within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duration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Semana</w:t>
            </w:r>
            <w:proofErr w:type="spellEnd"/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Santa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monitoring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well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for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easy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activation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team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immediately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respond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disaster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that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may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occur.</w:t>
            </w:r>
          </w:p>
        </w:tc>
      </w:tr>
    </w:tbl>
    <w:p w14:paraId="0AEFDABD" w14:textId="5A0700D9" w:rsidR="009B43CB" w:rsidRPr="00C431B1" w:rsidRDefault="009B43CB" w:rsidP="009B43C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9012619" w14:textId="393DDEEC" w:rsidR="00645972" w:rsidRPr="00C431B1" w:rsidRDefault="00645972" w:rsidP="0064597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>DSWD-FO</w:t>
      </w:r>
      <w:r w:rsidR="008F166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645972" w:rsidRPr="00C431B1" w14:paraId="79BB8A6E" w14:textId="77777777" w:rsidTr="008F1660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1F4F8A" w14:textId="77777777" w:rsidR="00645972" w:rsidRPr="00C431B1" w:rsidRDefault="00645972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3B65C1" w14:textId="09C43867" w:rsidR="00645972" w:rsidRPr="00C431B1" w:rsidRDefault="00645972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645972" w:rsidRPr="00C431B1" w14:paraId="7974C2A0" w14:textId="77777777" w:rsidTr="008F166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BA9EB0" w14:textId="1FF9887E" w:rsidR="00645972" w:rsidRPr="00A15CC7" w:rsidRDefault="00645972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15</w:t>
            </w:r>
            <w:r w:rsidR="008F16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April</w:t>
            </w:r>
            <w:r w:rsidR="008F16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88DF6F" w14:textId="1CE59C24" w:rsidR="00645972" w:rsidRDefault="00645972" w:rsidP="0064597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MIMAROPA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DRMD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ensured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that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skeletal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workforce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team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ready.</w:t>
            </w:r>
          </w:p>
          <w:p w14:paraId="361AD093" w14:textId="04576A9D" w:rsidR="00645972" w:rsidRDefault="00645972" w:rsidP="0064597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MIMAROPA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close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coordination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with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SWADT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concerned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LGUs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management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stranded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passengers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there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will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reported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case.</w:t>
            </w:r>
          </w:p>
          <w:p w14:paraId="0CE6486A" w14:textId="2A076E76" w:rsidR="003A6817" w:rsidRPr="003A6817" w:rsidRDefault="00645972" w:rsidP="003A6817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Expanded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R/P/C/MQRTs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SWAD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provincial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staff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together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with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special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projects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are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on-call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3A6817"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3A6817">
              <w:rPr>
                <w:rFonts w:ascii="Arial" w:hAnsi="Arial" w:cs="Arial"/>
                <w:color w:val="0070C0"/>
                <w:sz w:val="20"/>
                <w:szCs w:val="20"/>
              </w:rPr>
              <w:t>will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3A6817">
              <w:rPr>
                <w:rFonts w:ascii="Arial" w:hAnsi="Arial" w:cs="Arial"/>
                <w:color w:val="0070C0"/>
                <w:sz w:val="20"/>
                <w:szCs w:val="20"/>
              </w:rPr>
              <w:t>be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3A6817">
              <w:rPr>
                <w:rFonts w:ascii="Arial" w:hAnsi="Arial" w:cs="Arial"/>
                <w:color w:val="0070C0"/>
                <w:sz w:val="20"/>
                <w:szCs w:val="20"/>
              </w:rPr>
              <w:t>activated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3A6817">
              <w:rPr>
                <w:rFonts w:ascii="Arial" w:hAnsi="Arial" w:cs="Arial"/>
                <w:color w:val="0070C0"/>
                <w:sz w:val="20"/>
                <w:szCs w:val="20"/>
              </w:rPr>
              <w:t>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3A6817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3A6817">
              <w:rPr>
                <w:rFonts w:ascii="Arial" w:hAnsi="Arial" w:cs="Arial"/>
                <w:color w:val="0070C0"/>
                <w:sz w:val="20"/>
                <w:szCs w:val="20"/>
              </w:rPr>
              <w:t>24/7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3A6817">
              <w:rPr>
                <w:rFonts w:ascii="Arial" w:hAnsi="Arial" w:cs="Arial"/>
                <w:color w:val="0070C0"/>
                <w:sz w:val="20"/>
                <w:szCs w:val="20"/>
              </w:rPr>
              <w:t>schedule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3A6817">
              <w:rPr>
                <w:rFonts w:ascii="Arial" w:hAnsi="Arial" w:cs="Arial"/>
                <w:color w:val="0070C0"/>
                <w:sz w:val="20"/>
                <w:szCs w:val="20"/>
              </w:rPr>
              <w:t>in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3A6817">
              <w:rPr>
                <w:rFonts w:ascii="Arial" w:hAnsi="Arial" w:cs="Arial"/>
                <w:color w:val="0070C0"/>
                <w:sz w:val="20"/>
                <w:szCs w:val="20"/>
              </w:rPr>
              <w:t>case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3A6817"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3A6817">
              <w:rPr>
                <w:rFonts w:ascii="Arial" w:hAnsi="Arial" w:cs="Arial"/>
                <w:color w:val="0070C0"/>
                <w:sz w:val="20"/>
                <w:szCs w:val="20"/>
              </w:rPr>
              <w:t>untoward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3A6817">
              <w:rPr>
                <w:rFonts w:ascii="Arial" w:hAnsi="Arial" w:cs="Arial"/>
                <w:color w:val="0070C0"/>
                <w:sz w:val="20"/>
                <w:szCs w:val="20"/>
              </w:rPr>
              <w:t>incident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3A6817">
              <w:rPr>
                <w:rFonts w:ascii="Arial" w:hAnsi="Arial" w:cs="Arial"/>
                <w:color w:val="0070C0"/>
                <w:sz w:val="20"/>
                <w:szCs w:val="20"/>
              </w:rPr>
              <w:t>that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3A6817">
              <w:rPr>
                <w:rFonts w:ascii="Arial" w:hAnsi="Arial" w:cs="Arial"/>
                <w:color w:val="0070C0"/>
                <w:sz w:val="20"/>
                <w:szCs w:val="20"/>
              </w:rPr>
              <w:t>may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3A6817">
              <w:rPr>
                <w:rFonts w:ascii="Arial" w:hAnsi="Arial" w:cs="Arial"/>
                <w:color w:val="0070C0"/>
                <w:sz w:val="20"/>
                <w:szCs w:val="20"/>
              </w:rPr>
              <w:t>occur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3A6817">
              <w:rPr>
                <w:rFonts w:ascii="Arial" w:hAnsi="Arial" w:cs="Arial"/>
                <w:color w:val="0070C0"/>
                <w:sz w:val="20"/>
                <w:szCs w:val="20"/>
              </w:rPr>
              <w:t>during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3A6817"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3A6817">
              <w:rPr>
                <w:rFonts w:ascii="Arial" w:hAnsi="Arial" w:cs="Arial"/>
                <w:color w:val="0070C0"/>
                <w:sz w:val="20"/>
                <w:szCs w:val="20"/>
              </w:rPr>
              <w:t>observance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3A6817"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3A6817"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3A6817">
              <w:rPr>
                <w:rFonts w:ascii="Arial" w:hAnsi="Arial" w:cs="Arial"/>
                <w:color w:val="0070C0"/>
                <w:sz w:val="20"/>
                <w:szCs w:val="20"/>
              </w:rPr>
              <w:t>Holy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3A6817">
              <w:rPr>
                <w:rFonts w:ascii="Arial" w:hAnsi="Arial" w:cs="Arial"/>
                <w:color w:val="0070C0"/>
                <w:sz w:val="20"/>
                <w:szCs w:val="20"/>
              </w:rPr>
              <w:t>Week.</w:t>
            </w:r>
          </w:p>
        </w:tc>
      </w:tr>
    </w:tbl>
    <w:p w14:paraId="0F5B7634" w14:textId="07F7FD68" w:rsidR="00645972" w:rsidRPr="00C431B1" w:rsidRDefault="00645972" w:rsidP="0064597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CB0DA2A" w14:textId="0A0DA7DB" w:rsidR="003F34C4" w:rsidRPr="00C431B1" w:rsidRDefault="003F34C4" w:rsidP="003F34C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>DSWD-FO</w:t>
      </w:r>
      <w:r w:rsidR="008F166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3F34C4" w:rsidRPr="00C431B1" w14:paraId="0270FCF5" w14:textId="77777777" w:rsidTr="008F1660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AE52AD" w14:textId="77777777" w:rsidR="003F34C4" w:rsidRPr="00C431B1" w:rsidRDefault="003F34C4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A69363" w14:textId="543CE6ED" w:rsidR="003F34C4" w:rsidRPr="00C431B1" w:rsidRDefault="003F34C4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F34C4" w:rsidRPr="00C431B1" w14:paraId="3E259EAC" w14:textId="77777777" w:rsidTr="008F166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A4FB20" w14:textId="612CF7B1" w:rsidR="003F34C4" w:rsidRPr="00A15CC7" w:rsidRDefault="003F34C4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15</w:t>
            </w:r>
            <w:r w:rsidR="008F16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April</w:t>
            </w:r>
            <w:r w:rsidR="008F16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9C3ECC" w14:textId="0262554D" w:rsidR="003F34C4" w:rsidRDefault="00153B9F" w:rsidP="00153B9F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V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DRMD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created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skeletal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duty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monitor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related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incidents,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provide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weather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updates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information.</w:t>
            </w:r>
          </w:p>
          <w:p w14:paraId="6C21E37C" w14:textId="79F3F06F" w:rsidR="00153B9F" w:rsidRDefault="00153B9F" w:rsidP="00153B9F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Emergency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telecommunication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equipment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standby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ready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for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deployment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need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arises.</w:t>
            </w:r>
          </w:p>
          <w:p w14:paraId="6A7DB191" w14:textId="0FBBF650" w:rsidR="00153B9F" w:rsidRDefault="00153B9F" w:rsidP="00153B9F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V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Quick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Response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Teams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(QRTs)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were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alerted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advised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prepared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for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augmentation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needed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from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field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and/or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24/7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duty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DRMD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Operations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Center.</w:t>
            </w:r>
          </w:p>
          <w:p w14:paraId="2B42D657" w14:textId="2353FF8E" w:rsidR="002F12D3" w:rsidRPr="006C6E52" w:rsidRDefault="00364261" w:rsidP="00153B9F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Provincial/Municipal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Action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Team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(P/MAT)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F12D3">
              <w:rPr>
                <w:rFonts w:ascii="Arial" w:hAnsi="Arial" w:cs="Arial"/>
                <w:color w:val="0070C0"/>
                <w:sz w:val="20"/>
                <w:szCs w:val="20"/>
              </w:rPr>
              <w:t>members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F12D3">
              <w:rPr>
                <w:rFonts w:ascii="Arial" w:hAnsi="Arial" w:cs="Arial"/>
                <w:color w:val="0070C0"/>
                <w:sz w:val="20"/>
                <w:szCs w:val="20"/>
              </w:rPr>
              <w:t>in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F12D3"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F12D3">
              <w:rPr>
                <w:rFonts w:ascii="Arial" w:hAnsi="Arial" w:cs="Arial"/>
                <w:color w:val="0070C0"/>
                <w:sz w:val="20"/>
                <w:szCs w:val="20"/>
              </w:rPr>
              <w:t>six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(6)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F12D3">
              <w:rPr>
                <w:rFonts w:ascii="Arial" w:hAnsi="Arial" w:cs="Arial"/>
                <w:color w:val="0070C0"/>
                <w:sz w:val="20"/>
                <w:szCs w:val="20"/>
              </w:rPr>
              <w:t>provinces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F12D3">
              <w:rPr>
                <w:rFonts w:ascii="Arial" w:hAnsi="Arial" w:cs="Arial"/>
                <w:color w:val="0070C0"/>
                <w:sz w:val="20"/>
                <w:szCs w:val="20"/>
              </w:rPr>
              <w:t>are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F12D3">
              <w:rPr>
                <w:rFonts w:ascii="Arial" w:hAnsi="Arial" w:cs="Arial"/>
                <w:color w:val="0070C0"/>
                <w:sz w:val="20"/>
                <w:szCs w:val="20"/>
              </w:rPr>
              <w:t>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F12D3">
              <w:rPr>
                <w:rFonts w:ascii="Arial" w:hAnsi="Arial" w:cs="Arial"/>
                <w:color w:val="0070C0"/>
                <w:sz w:val="20"/>
                <w:szCs w:val="20"/>
              </w:rPr>
              <w:t>standby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F12D3"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F12D3">
              <w:rPr>
                <w:rFonts w:ascii="Arial" w:hAnsi="Arial" w:cs="Arial"/>
                <w:color w:val="0070C0"/>
                <w:sz w:val="20"/>
                <w:szCs w:val="20"/>
              </w:rPr>
              <w:t>were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F12D3">
              <w:rPr>
                <w:rFonts w:ascii="Arial" w:hAnsi="Arial" w:cs="Arial"/>
                <w:color w:val="0070C0"/>
                <w:sz w:val="20"/>
                <w:szCs w:val="20"/>
              </w:rPr>
              <w:t>instructed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F12D3"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F12D3">
              <w:rPr>
                <w:rFonts w:ascii="Arial" w:hAnsi="Arial" w:cs="Arial"/>
                <w:color w:val="0070C0"/>
                <w:sz w:val="20"/>
                <w:szCs w:val="20"/>
              </w:rPr>
              <w:t>coordinate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F12D3">
              <w:rPr>
                <w:rFonts w:ascii="Arial" w:hAnsi="Arial" w:cs="Arial"/>
                <w:color w:val="0070C0"/>
                <w:sz w:val="20"/>
                <w:szCs w:val="20"/>
              </w:rPr>
              <w:t>with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F12D3"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671F0">
              <w:rPr>
                <w:rFonts w:ascii="Arial" w:hAnsi="Arial" w:cs="Arial"/>
                <w:color w:val="0070C0"/>
                <w:sz w:val="20"/>
                <w:szCs w:val="20"/>
              </w:rPr>
              <w:t>Provincial/Municipal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671F0">
              <w:rPr>
                <w:rFonts w:ascii="Arial" w:hAnsi="Arial" w:cs="Arial"/>
                <w:color w:val="0070C0"/>
                <w:sz w:val="20"/>
                <w:szCs w:val="20"/>
              </w:rPr>
              <w:t>Disaster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671F0">
              <w:rPr>
                <w:rFonts w:ascii="Arial" w:hAnsi="Arial" w:cs="Arial"/>
                <w:color w:val="0070C0"/>
                <w:sz w:val="20"/>
                <w:szCs w:val="20"/>
              </w:rPr>
              <w:t>Risk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671F0">
              <w:rPr>
                <w:rFonts w:ascii="Arial" w:hAnsi="Arial" w:cs="Arial"/>
                <w:color w:val="0070C0"/>
                <w:sz w:val="20"/>
                <w:szCs w:val="20"/>
              </w:rPr>
              <w:t>Reduction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671F0"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671F0">
              <w:rPr>
                <w:rFonts w:ascii="Arial" w:hAnsi="Arial" w:cs="Arial"/>
                <w:color w:val="0070C0"/>
                <w:sz w:val="20"/>
                <w:szCs w:val="20"/>
              </w:rPr>
              <w:t>Management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671F0">
              <w:rPr>
                <w:rFonts w:ascii="Arial" w:hAnsi="Arial" w:cs="Arial"/>
                <w:color w:val="0070C0"/>
                <w:sz w:val="20"/>
                <w:szCs w:val="20"/>
              </w:rPr>
              <w:t>Offices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671F0"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="002F12D3">
              <w:rPr>
                <w:rFonts w:ascii="Arial" w:hAnsi="Arial" w:cs="Arial"/>
                <w:color w:val="0070C0"/>
                <w:sz w:val="20"/>
                <w:szCs w:val="20"/>
              </w:rPr>
              <w:t>P/MDRRMOs</w:t>
            </w:r>
            <w:r w:rsidR="002671F0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F12D3">
              <w:rPr>
                <w:rFonts w:ascii="Arial" w:hAnsi="Arial" w:cs="Arial"/>
                <w:color w:val="0070C0"/>
                <w:sz w:val="20"/>
                <w:szCs w:val="20"/>
              </w:rPr>
              <w:t>for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F12D3">
              <w:rPr>
                <w:rFonts w:ascii="Arial" w:hAnsi="Arial" w:cs="Arial"/>
                <w:color w:val="0070C0"/>
                <w:sz w:val="20"/>
                <w:szCs w:val="20"/>
              </w:rPr>
              <w:t>status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F12D3">
              <w:rPr>
                <w:rFonts w:ascii="Arial" w:hAnsi="Arial" w:cs="Arial"/>
                <w:color w:val="0070C0"/>
                <w:sz w:val="20"/>
                <w:szCs w:val="20"/>
              </w:rPr>
              <w:t>reports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F12D3"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F12D3">
              <w:rPr>
                <w:rFonts w:ascii="Arial" w:hAnsi="Arial" w:cs="Arial"/>
                <w:color w:val="0070C0"/>
                <w:sz w:val="20"/>
                <w:szCs w:val="20"/>
              </w:rPr>
              <w:t>updates.</w:t>
            </w:r>
          </w:p>
        </w:tc>
      </w:tr>
    </w:tbl>
    <w:p w14:paraId="444508DF" w14:textId="6B2101E8" w:rsidR="003F34C4" w:rsidRDefault="003F34C4" w:rsidP="003F34C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1B7C739F" w14:textId="77777777" w:rsidR="007A69AB" w:rsidRPr="00C431B1" w:rsidRDefault="007A69AB" w:rsidP="003F34C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44050EF5" w14:textId="05D95B38" w:rsidR="00EF1A75" w:rsidRPr="00C431B1" w:rsidRDefault="00EF1A75" w:rsidP="00EF1A7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8F166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EF1A75" w:rsidRPr="00C431B1" w14:paraId="16AF6F7A" w14:textId="77777777" w:rsidTr="008F1660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1BB53B" w14:textId="77777777" w:rsidR="00EF1A75" w:rsidRPr="00C431B1" w:rsidRDefault="00EF1A75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04654F" w14:textId="1CB5658C" w:rsidR="00EF1A75" w:rsidRPr="00C431B1" w:rsidRDefault="00EF1A75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F1A75" w:rsidRPr="00C431B1" w14:paraId="3C654E2D" w14:textId="77777777" w:rsidTr="008F166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5464D3" w14:textId="4C51F5A9" w:rsidR="00EF1A75" w:rsidRPr="00A15CC7" w:rsidRDefault="00EF1A75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15</w:t>
            </w:r>
            <w:r w:rsidR="008F16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April</w:t>
            </w:r>
            <w:r w:rsidR="008F16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DA7DDD" w14:textId="0B503812" w:rsidR="00EF1A75" w:rsidRDefault="00EF1A75" w:rsidP="00EF1A75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VI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QRT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members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are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standby.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regional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director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issued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memo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date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8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April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2019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for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QRT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members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on-call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ready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case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response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activation.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Chat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group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for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QRT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members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response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cluster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RDRRMC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now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updated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for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faster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information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sharing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instructions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from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DSWD-FO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VI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regional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director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9D3FF0"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9D3FF0">
              <w:rPr>
                <w:rFonts w:ascii="Arial" w:hAnsi="Arial" w:cs="Arial"/>
                <w:color w:val="0070C0"/>
                <w:sz w:val="20"/>
                <w:szCs w:val="20"/>
              </w:rPr>
              <w:t>other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9D3FF0">
              <w:rPr>
                <w:rFonts w:ascii="Arial" w:hAnsi="Arial" w:cs="Arial"/>
                <w:color w:val="0070C0"/>
                <w:sz w:val="20"/>
                <w:szCs w:val="20"/>
              </w:rPr>
              <w:t>action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9D3FF0">
              <w:rPr>
                <w:rFonts w:ascii="Arial" w:hAnsi="Arial" w:cs="Arial"/>
                <w:color w:val="0070C0"/>
                <w:sz w:val="20"/>
                <w:szCs w:val="20"/>
              </w:rPr>
              <w:t>officers.</w:t>
            </w:r>
          </w:p>
          <w:p w14:paraId="28361CA0" w14:textId="6FC60174" w:rsidR="009D3FF0" w:rsidRDefault="009D3FF0" w:rsidP="00EF1A75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VI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DROMIC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Focal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Person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shall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closely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monitor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situation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coordination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with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RDRRMC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other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warning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agencies.</w:t>
            </w:r>
          </w:p>
          <w:p w14:paraId="20140DE2" w14:textId="6A2FF55E" w:rsidR="009D3FF0" w:rsidRPr="006C6E52" w:rsidRDefault="009D3FF0" w:rsidP="00EF1A75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skeletal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workforce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DSWD-FO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VI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DRMD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shall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monitor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alert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action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officers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case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emergencies.</w:t>
            </w:r>
          </w:p>
        </w:tc>
      </w:tr>
    </w:tbl>
    <w:p w14:paraId="1574DB3C" w14:textId="77777777" w:rsidR="00EF1A75" w:rsidRPr="00C431B1" w:rsidRDefault="00EF1A75" w:rsidP="00EF1A7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4E47938" w14:textId="06C72288" w:rsidR="0061712D" w:rsidRPr="00C431B1" w:rsidRDefault="0061712D" w:rsidP="0061712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>DSWD-FO</w:t>
      </w:r>
      <w:r w:rsidR="008F166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61712D" w:rsidRPr="00C431B1" w14:paraId="38EE279F" w14:textId="77777777" w:rsidTr="008F1660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0B3608" w14:textId="77777777" w:rsidR="0061712D" w:rsidRPr="00C431B1" w:rsidRDefault="0061712D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249ED6" w14:textId="58DF4DC7" w:rsidR="0061712D" w:rsidRPr="00C431B1" w:rsidRDefault="0061712D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61712D" w:rsidRPr="00C431B1" w14:paraId="7E7A8C56" w14:textId="77777777" w:rsidTr="008F166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72DB3A" w14:textId="02688961" w:rsidR="0061712D" w:rsidRPr="00A15CC7" w:rsidRDefault="0061712D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15</w:t>
            </w:r>
            <w:r w:rsidR="008F16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April</w:t>
            </w:r>
            <w:r w:rsidR="008F16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50F918" w14:textId="4B5804C9" w:rsidR="0061712D" w:rsidRPr="006C6E52" w:rsidRDefault="0061712D" w:rsidP="0061712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VII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through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Memorandum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signed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its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OIC-Regional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Director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dated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12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April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2019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has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issued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its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Holy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Week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Preparedness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Plan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ensure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availability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skeletal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workforce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four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(4)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provinces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from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April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18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21,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2019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monitor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respond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incidents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other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emergencies,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provide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augmentation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support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respond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immediate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needs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all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sectors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coordination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with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LGUs,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PNP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personnel,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LDRRMC.</w:t>
            </w:r>
          </w:p>
          <w:p w14:paraId="7E3A53B3" w14:textId="4E0187B8" w:rsidR="0061712D" w:rsidRDefault="0061712D" w:rsidP="0061712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Assistant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Regional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Directors,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Division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Chiefs,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those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staff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holding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key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functions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shall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likewise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standby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on-call.</w:t>
            </w:r>
          </w:p>
          <w:p w14:paraId="55A524FF" w14:textId="1E1FB3B8" w:rsidR="0061712D" w:rsidRDefault="0061712D" w:rsidP="0061712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QRT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members,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SWADTs,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Provincial/Municipal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Links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including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warehouse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personnel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are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standby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for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eventualities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observance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Holy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Week.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were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advised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closely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coordinate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with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their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counterparts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including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P/C/MSWDOs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local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disaster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focals</w:t>
            </w:r>
            <w:proofErr w:type="spellEnd"/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immediately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report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incidents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for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timely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appropriate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response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and/or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augmentation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support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needed.</w:t>
            </w:r>
          </w:p>
          <w:p w14:paraId="30612075" w14:textId="60886A4A" w:rsidR="0061712D" w:rsidRDefault="0061712D" w:rsidP="0061712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VII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DROMIC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Focal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Person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continuously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monitors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weather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conditions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forward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same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DSWD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regional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field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staff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through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various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communication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channels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available.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This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is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for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their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proper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guidance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information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for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dissemination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rest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C/MAT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members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Pantawid</w:t>
            </w:r>
            <w:proofErr w:type="spellEnd"/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Parent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622DA">
              <w:rPr>
                <w:rFonts w:ascii="Arial" w:hAnsi="Arial" w:cs="Arial"/>
                <w:color w:val="0070C0"/>
                <w:sz w:val="20"/>
                <w:szCs w:val="20"/>
              </w:rPr>
              <w:t>Leaders.</w:t>
            </w:r>
          </w:p>
          <w:p w14:paraId="051F4359" w14:textId="039BEA67" w:rsidR="00B622DA" w:rsidRDefault="00B622DA" w:rsidP="0061712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VII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close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coordination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with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C/MAT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SWADTs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for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incident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reporting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updating.</w:t>
            </w:r>
          </w:p>
          <w:p w14:paraId="7300BDB4" w14:textId="7626E688" w:rsidR="00B622DA" w:rsidRPr="0061712D" w:rsidRDefault="00B622DA" w:rsidP="00B622DA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VII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also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disseminates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port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advisories,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passenger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information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hotlines,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70C0"/>
                <w:sz w:val="20"/>
                <w:szCs w:val="20"/>
              </w:rPr>
              <w:t>contact</w:t>
            </w:r>
            <w:proofErr w:type="gramEnd"/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numbers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various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piers,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ports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terminals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for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trip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advisory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announcements.</w:t>
            </w:r>
          </w:p>
        </w:tc>
      </w:tr>
    </w:tbl>
    <w:p w14:paraId="3E66B973" w14:textId="1B675F89" w:rsidR="0061712D" w:rsidRPr="00C431B1" w:rsidRDefault="0061712D" w:rsidP="0061712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05586689" w14:textId="7E6263AD" w:rsidR="009D3FF0" w:rsidRPr="00C431B1" w:rsidRDefault="009D3FF0" w:rsidP="009D3FF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>DSWD-FO</w:t>
      </w:r>
      <w:r w:rsidR="008F166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9D3FF0" w:rsidRPr="00C431B1" w14:paraId="4947E177" w14:textId="77777777" w:rsidTr="008F1660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6249D9" w14:textId="77777777" w:rsidR="009D3FF0" w:rsidRPr="00C431B1" w:rsidRDefault="009D3FF0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B7C685" w14:textId="7CA07D47" w:rsidR="009D3FF0" w:rsidRPr="00C431B1" w:rsidRDefault="009D3FF0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D3FF0" w:rsidRPr="00C431B1" w14:paraId="533BBF33" w14:textId="77777777" w:rsidTr="008F166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A16387" w14:textId="604CB6CD" w:rsidR="009D3FF0" w:rsidRPr="00A15CC7" w:rsidRDefault="009D3FF0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15</w:t>
            </w:r>
            <w:r w:rsidR="008F16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April</w:t>
            </w:r>
            <w:r w:rsidR="008F16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F5689D" w14:textId="68A46BA5" w:rsidR="009D3FF0" w:rsidRDefault="007312E3" w:rsidP="008F1660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Informed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all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QRT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leaders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identify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members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who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will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render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duty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OCD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DSWD-FO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VIII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Operations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Center.</w:t>
            </w:r>
          </w:p>
          <w:p w14:paraId="12C0C8BD" w14:textId="4BD7B656" w:rsidR="007312E3" w:rsidRDefault="007312E3" w:rsidP="008F1660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Social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Welfare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Development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(SWAD)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Teams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DRMD-PDOs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assigned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provinces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are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alerted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advised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closely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coordinate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with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Provincial/City/Municipal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Social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Welfare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Development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Offices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(P/C/MSWDOs)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and/or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Provincial/City/Municipal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Disaster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Risk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Reduction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Management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Offices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(P/C/MDRRMOs),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immediately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report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eventualities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that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may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arise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during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Lenten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Season.</w:t>
            </w:r>
          </w:p>
          <w:p w14:paraId="724D957E" w14:textId="2F30DDC9" w:rsidR="007312E3" w:rsidRDefault="007312E3" w:rsidP="008F1660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All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QRT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members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DRMD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staff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are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alerted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case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augmentation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workforce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needed.</w:t>
            </w:r>
          </w:p>
          <w:p w14:paraId="6273FE6D" w14:textId="1EB47573" w:rsidR="007312E3" w:rsidRDefault="007312E3" w:rsidP="008F1660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Disaster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Response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Information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Management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Section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(DRIMS)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DSWD-FO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VIII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DRMD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close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coordination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with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SWADTs,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QRTs,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PDOs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for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eventualities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ground.</w:t>
            </w:r>
          </w:p>
          <w:p w14:paraId="619CB0E9" w14:textId="5F92986F" w:rsidR="007312E3" w:rsidRPr="006C6E52" w:rsidRDefault="002C6901" w:rsidP="008F1660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RROS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7312E3">
              <w:rPr>
                <w:rFonts w:ascii="Arial" w:hAnsi="Arial" w:cs="Arial"/>
                <w:color w:val="0070C0"/>
                <w:sz w:val="20"/>
                <w:szCs w:val="20"/>
              </w:rPr>
              <w:t>is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7312E3">
              <w:rPr>
                <w:rFonts w:ascii="Arial" w:hAnsi="Arial" w:cs="Arial"/>
                <w:color w:val="0070C0"/>
                <w:sz w:val="20"/>
                <w:szCs w:val="20"/>
              </w:rPr>
              <w:t>also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7312E3">
              <w:rPr>
                <w:rFonts w:ascii="Arial" w:hAnsi="Arial" w:cs="Arial"/>
                <w:color w:val="0070C0"/>
                <w:sz w:val="20"/>
                <w:szCs w:val="20"/>
              </w:rPr>
              <w:t>alerted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7312E3"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7312E3">
              <w:rPr>
                <w:rFonts w:ascii="Arial" w:hAnsi="Arial" w:cs="Arial"/>
                <w:color w:val="0070C0"/>
                <w:sz w:val="20"/>
                <w:szCs w:val="20"/>
              </w:rPr>
              <w:t>ensure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7312E3"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7312E3">
              <w:rPr>
                <w:rFonts w:ascii="Arial" w:hAnsi="Arial" w:cs="Arial"/>
                <w:color w:val="0070C0"/>
                <w:sz w:val="20"/>
                <w:szCs w:val="20"/>
              </w:rPr>
              <w:t>readiness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7312E3"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7312E3">
              <w:rPr>
                <w:rFonts w:ascii="Arial" w:hAnsi="Arial" w:cs="Arial"/>
                <w:color w:val="0070C0"/>
                <w:sz w:val="20"/>
                <w:szCs w:val="20"/>
              </w:rPr>
              <w:t>dispatching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7312E3">
              <w:rPr>
                <w:rFonts w:ascii="Arial" w:hAnsi="Arial" w:cs="Arial"/>
                <w:color w:val="0070C0"/>
                <w:sz w:val="20"/>
                <w:szCs w:val="20"/>
              </w:rPr>
              <w:t>food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7312E3"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7312E3">
              <w:rPr>
                <w:rFonts w:ascii="Arial" w:hAnsi="Arial" w:cs="Arial"/>
                <w:color w:val="0070C0"/>
                <w:sz w:val="20"/>
                <w:szCs w:val="20"/>
              </w:rPr>
              <w:t>non-food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7312E3">
              <w:rPr>
                <w:rFonts w:ascii="Arial" w:hAnsi="Arial" w:cs="Arial"/>
                <w:color w:val="0070C0"/>
                <w:sz w:val="20"/>
                <w:szCs w:val="20"/>
              </w:rPr>
              <w:t>items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7312E3">
              <w:rPr>
                <w:rFonts w:ascii="Arial" w:hAnsi="Arial" w:cs="Arial"/>
                <w:color w:val="0070C0"/>
                <w:sz w:val="20"/>
                <w:szCs w:val="20"/>
              </w:rPr>
              <w:t>whenever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7312E3">
              <w:rPr>
                <w:rFonts w:ascii="Arial" w:hAnsi="Arial" w:cs="Arial"/>
                <w:color w:val="0070C0"/>
                <w:sz w:val="20"/>
                <w:szCs w:val="20"/>
              </w:rPr>
              <w:t>needed.</w:t>
            </w:r>
          </w:p>
        </w:tc>
      </w:tr>
    </w:tbl>
    <w:p w14:paraId="3622D83A" w14:textId="16F4918A" w:rsidR="009D3FF0" w:rsidRDefault="009D3FF0" w:rsidP="009D3FF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106C5210" w14:textId="77777777" w:rsidR="007A69AB" w:rsidRDefault="007A69AB" w:rsidP="009D3FF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694E53D" w14:textId="77777777" w:rsidR="007A69AB" w:rsidRPr="00C431B1" w:rsidRDefault="007A69AB" w:rsidP="009D3FF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962F923" w14:textId="0262B6D9" w:rsidR="0051043F" w:rsidRPr="00C431B1" w:rsidRDefault="0051043F" w:rsidP="0051043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8F166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51043F" w:rsidRPr="00C431B1" w14:paraId="1DC2357E" w14:textId="77777777" w:rsidTr="008F1660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FCBEA1" w14:textId="77777777" w:rsidR="0051043F" w:rsidRPr="00C431B1" w:rsidRDefault="0051043F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2A1DB3" w14:textId="7268C91A" w:rsidR="0051043F" w:rsidRPr="00C431B1" w:rsidRDefault="0051043F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51043F" w:rsidRPr="00C431B1" w14:paraId="427C0A34" w14:textId="77777777" w:rsidTr="008F166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8AF7F8" w14:textId="479A018F" w:rsidR="0051043F" w:rsidRPr="00A15CC7" w:rsidRDefault="0051043F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15</w:t>
            </w:r>
            <w:r w:rsidR="008F16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April</w:t>
            </w:r>
            <w:r w:rsidR="008F16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7D996" w14:textId="6098D23D" w:rsidR="0051043F" w:rsidRDefault="002D5147" w:rsidP="002D5147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XI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QRTs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are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on-call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during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observance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Holy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Week.</w:t>
            </w:r>
          </w:p>
          <w:p w14:paraId="72A334CB" w14:textId="27DA937B" w:rsidR="002D5147" w:rsidRDefault="002D5147" w:rsidP="002D5147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XI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DRMD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closely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coordinating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with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all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SWAD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Offices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well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P/C/MSWDOs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for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monitoring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situations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different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parts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region.</w:t>
            </w:r>
          </w:p>
          <w:p w14:paraId="0EB44150" w14:textId="590A1904" w:rsidR="002D5147" w:rsidRDefault="002D5147" w:rsidP="002D5147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Personnel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manning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warehouse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are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also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alerted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ensure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readiness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dispatching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food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non-food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items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ensure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that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relief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goods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are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also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ready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available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given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time.</w:t>
            </w:r>
          </w:p>
          <w:p w14:paraId="3DD420C0" w14:textId="6F5BAF5F" w:rsidR="002D5147" w:rsidRDefault="002D5147" w:rsidP="002D5147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XI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ensured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availability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vehicles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drivers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event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relief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operation.</w:t>
            </w:r>
          </w:p>
          <w:p w14:paraId="4AC3540B" w14:textId="5DEDB58A" w:rsidR="002D5147" w:rsidRPr="002D5147" w:rsidRDefault="002D5147" w:rsidP="002D5147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XI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close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coordination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with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Office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Civil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Defense</w:t>
            </w:r>
            <w:proofErr w:type="spellEnd"/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(OCD)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XI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for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monitoring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purposes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response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mechanisms.</w:t>
            </w:r>
          </w:p>
        </w:tc>
      </w:tr>
    </w:tbl>
    <w:p w14:paraId="36FF90BA" w14:textId="703C9CFE" w:rsidR="00796AC1" w:rsidRPr="00C431B1" w:rsidRDefault="00796AC1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DB48F91" w14:textId="3CBC26F4" w:rsidR="00E3101D" w:rsidRPr="00C431B1" w:rsidRDefault="00E3101D" w:rsidP="00E3101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>DSWD-FO</w:t>
      </w:r>
      <w:r w:rsidR="008F166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E3101D" w:rsidRPr="00C431B1" w14:paraId="482B5F6E" w14:textId="77777777" w:rsidTr="008F1660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F475C3" w14:textId="77777777" w:rsidR="00E3101D" w:rsidRPr="00C431B1" w:rsidRDefault="00E3101D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566346" w14:textId="1B04BBEB" w:rsidR="00E3101D" w:rsidRPr="00C431B1" w:rsidRDefault="00E3101D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3101D" w:rsidRPr="00C431B1" w14:paraId="0C21C32F" w14:textId="77777777" w:rsidTr="008F166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8D833" w14:textId="28EEB0A3" w:rsidR="00E3101D" w:rsidRPr="00A15CC7" w:rsidRDefault="00E3101D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15</w:t>
            </w:r>
            <w:r w:rsidR="008F16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April</w:t>
            </w:r>
            <w:r w:rsidR="008F16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171F8A" w14:textId="148FAE71" w:rsidR="00E3101D" w:rsidRPr="002D5147" w:rsidRDefault="00E3101D" w:rsidP="00E3101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CARAGA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DRMD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staff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QRTs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are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on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standby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on-call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basis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throughout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observance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Holy</w:t>
            </w:r>
            <w:r w:rsidR="008F166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Week.</w:t>
            </w:r>
          </w:p>
        </w:tc>
      </w:tr>
    </w:tbl>
    <w:p w14:paraId="06499195" w14:textId="77777777" w:rsidR="00E3101D" w:rsidRPr="00C431B1" w:rsidRDefault="00E3101D" w:rsidP="00E3101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055FF615" w14:textId="77777777" w:rsidR="00796AC1" w:rsidRPr="00C431B1" w:rsidRDefault="00796AC1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89E619B" w:rsidR="001149A2" w:rsidRPr="00C431B1" w:rsidRDefault="001149A2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431B1">
        <w:rPr>
          <w:rFonts w:ascii="Arial" w:eastAsia="Arial" w:hAnsi="Arial" w:cs="Arial"/>
          <w:i/>
          <w:sz w:val="20"/>
          <w:szCs w:val="24"/>
        </w:rPr>
        <w:t>*****</w:t>
      </w:r>
    </w:p>
    <w:p w14:paraId="0E1AFEC6" w14:textId="04860646" w:rsidR="007A0CCF" w:rsidRDefault="00C34F5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C34F52">
        <w:rPr>
          <w:rFonts w:ascii="Arial" w:eastAsia="Arial" w:hAnsi="Arial" w:cs="Arial"/>
          <w:i/>
          <w:color w:val="263238"/>
          <w:sz w:val="20"/>
          <w:szCs w:val="24"/>
        </w:rPr>
        <w:t>The</w:t>
      </w:r>
      <w:r w:rsidR="008F166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C34F52">
        <w:rPr>
          <w:rFonts w:ascii="Arial" w:eastAsia="Arial" w:hAnsi="Arial" w:cs="Arial"/>
          <w:i/>
          <w:color w:val="263238"/>
          <w:sz w:val="20"/>
          <w:szCs w:val="24"/>
        </w:rPr>
        <w:t>Disaster</w:t>
      </w:r>
      <w:r w:rsidR="008F166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C34F52">
        <w:rPr>
          <w:rFonts w:ascii="Arial" w:eastAsia="Arial" w:hAnsi="Arial" w:cs="Arial"/>
          <w:i/>
          <w:color w:val="263238"/>
          <w:sz w:val="20"/>
          <w:szCs w:val="24"/>
        </w:rPr>
        <w:t>Response</w:t>
      </w:r>
      <w:r w:rsidR="008F166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C34F52">
        <w:rPr>
          <w:rFonts w:ascii="Arial" w:eastAsia="Arial" w:hAnsi="Arial" w:cs="Arial"/>
          <w:i/>
          <w:color w:val="263238"/>
          <w:sz w:val="20"/>
          <w:szCs w:val="24"/>
        </w:rPr>
        <w:t>Operations</w:t>
      </w:r>
      <w:r w:rsidR="008F166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C34F52">
        <w:rPr>
          <w:rFonts w:ascii="Arial" w:eastAsia="Arial" w:hAnsi="Arial" w:cs="Arial"/>
          <w:i/>
          <w:color w:val="263238"/>
          <w:sz w:val="20"/>
          <w:szCs w:val="24"/>
        </w:rPr>
        <w:t>Monitoring</w:t>
      </w:r>
      <w:r w:rsidR="008F166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C34F52">
        <w:rPr>
          <w:rFonts w:ascii="Arial" w:eastAsia="Arial" w:hAnsi="Arial" w:cs="Arial"/>
          <w:i/>
          <w:color w:val="263238"/>
          <w:sz w:val="20"/>
          <w:szCs w:val="24"/>
        </w:rPr>
        <w:t>and</w:t>
      </w:r>
      <w:r w:rsidR="008F166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C34F52">
        <w:rPr>
          <w:rFonts w:ascii="Arial" w:eastAsia="Arial" w:hAnsi="Arial" w:cs="Arial"/>
          <w:i/>
          <w:color w:val="263238"/>
          <w:sz w:val="20"/>
          <w:szCs w:val="24"/>
        </w:rPr>
        <w:t>Information</w:t>
      </w:r>
      <w:r w:rsidR="008F166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>
        <w:rPr>
          <w:rFonts w:ascii="Arial" w:eastAsia="Arial" w:hAnsi="Arial" w:cs="Arial"/>
          <w:i/>
          <w:color w:val="263238"/>
          <w:sz w:val="20"/>
          <w:szCs w:val="24"/>
        </w:rPr>
        <w:t>Center</w:t>
      </w:r>
      <w:r w:rsidR="008F166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>
        <w:rPr>
          <w:rFonts w:ascii="Arial" w:eastAsia="Arial" w:hAnsi="Arial" w:cs="Arial"/>
          <w:i/>
          <w:color w:val="263238"/>
          <w:sz w:val="20"/>
          <w:szCs w:val="24"/>
        </w:rPr>
        <w:t>(DROMIC)</w:t>
      </w:r>
      <w:r w:rsidR="008F166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>
        <w:rPr>
          <w:rFonts w:ascii="Arial" w:eastAsia="Arial" w:hAnsi="Arial" w:cs="Arial"/>
          <w:i/>
          <w:color w:val="263238"/>
          <w:sz w:val="20"/>
          <w:szCs w:val="24"/>
        </w:rPr>
        <w:t>of</w:t>
      </w:r>
      <w:r w:rsidR="008F166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>
        <w:rPr>
          <w:rFonts w:ascii="Arial" w:eastAsia="Arial" w:hAnsi="Arial" w:cs="Arial"/>
          <w:i/>
          <w:color w:val="263238"/>
          <w:sz w:val="20"/>
          <w:szCs w:val="24"/>
        </w:rPr>
        <w:t>the</w:t>
      </w:r>
      <w:r w:rsidR="008F166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>
        <w:rPr>
          <w:rFonts w:ascii="Arial" w:eastAsia="Arial" w:hAnsi="Arial" w:cs="Arial"/>
          <w:i/>
          <w:color w:val="263238"/>
          <w:sz w:val="20"/>
          <w:szCs w:val="24"/>
        </w:rPr>
        <w:t>DSWD-DR</w:t>
      </w:r>
      <w:r w:rsidRPr="00C34F52">
        <w:rPr>
          <w:rFonts w:ascii="Arial" w:eastAsia="Arial" w:hAnsi="Arial" w:cs="Arial"/>
          <w:i/>
          <w:color w:val="263238"/>
          <w:sz w:val="20"/>
          <w:szCs w:val="24"/>
        </w:rPr>
        <w:t>MB</w:t>
      </w:r>
      <w:r w:rsidR="008F166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C34F52">
        <w:rPr>
          <w:rFonts w:ascii="Arial" w:eastAsia="Arial" w:hAnsi="Arial" w:cs="Arial"/>
          <w:i/>
          <w:color w:val="263238"/>
          <w:sz w:val="20"/>
          <w:szCs w:val="24"/>
        </w:rPr>
        <w:t>continues</w:t>
      </w:r>
      <w:r w:rsidR="008F166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C34F52">
        <w:rPr>
          <w:rFonts w:ascii="Arial" w:eastAsia="Arial" w:hAnsi="Arial" w:cs="Arial"/>
          <w:i/>
          <w:color w:val="263238"/>
          <w:sz w:val="20"/>
          <w:szCs w:val="24"/>
        </w:rPr>
        <w:t>to</w:t>
      </w:r>
      <w:r w:rsidR="008F166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C34F52">
        <w:rPr>
          <w:rFonts w:ascii="Arial" w:eastAsia="Arial" w:hAnsi="Arial" w:cs="Arial"/>
          <w:i/>
          <w:color w:val="263238"/>
          <w:sz w:val="20"/>
          <w:szCs w:val="24"/>
        </w:rPr>
        <w:t>closely</w:t>
      </w:r>
      <w:r w:rsidR="008F166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C34F52">
        <w:rPr>
          <w:rFonts w:ascii="Arial" w:eastAsia="Arial" w:hAnsi="Arial" w:cs="Arial"/>
          <w:i/>
          <w:color w:val="263238"/>
          <w:sz w:val="20"/>
          <w:szCs w:val="24"/>
        </w:rPr>
        <w:t>coordinate</w:t>
      </w:r>
      <w:r w:rsidR="008F166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C34F52">
        <w:rPr>
          <w:rFonts w:ascii="Arial" w:eastAsia="Arial" w:hAnsi="Arial" w:cs="Arial"/>
          <w:i/>
          <w:color w:val="263238"/>
          <w:sz w:val="20"/>
          <w:szCs w:val="24"/>
        </w:rPr>
        <w:t>with</w:t>
      </w:r>
      <w:r w:rsidR="008F166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C34F52">
        <w:rPr>
          <w:rFonts w:ascii="Arial" w:eastAsia="Arial" w:hAnsi="Arial" w:cs="Arial"/>
          <w:i/>
          <w:color w:val="263238"/>
          <w:sz w:val="20"/>
          <w:szCs w:val="24"/>
        </w:rPr>
        <w:t>the</w:t>
      </w:r>
      <w:r w:rsidR="008F166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C34F52">
        <w:rPr>
          <w:rFonts w:ascii="Arial" w:eastAsia="Arial" w:hAnsi="Arial" w:cs="Arial"/>
          <w:i/>
          <w:color w:val="263238"/>
          <w:sz w:val="20"/>
          <w:szCs w:val="24"/>
        </w:rPr>
        <w:t>concerned</w:t>
      </w:r>
      <w:r w:rsidR="008F166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C34F52">
        <w:rPr>
          <w:rFonts w:ascii="Arial" w:eastAsia="Arial" w:hAnsi="Arial" w:cs="Arial"/>
          <w:i/>
          <w:color w:val="263238"/>
          <w:sz w:val="20"/>
          <w:szCs w:val="24"/>
        </w:rPr>
        <w:t>DSWD</w:t>
      </w:r>
      <w:r w:rsidR="008F166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C34F52">
        <w:rPr>
          <w:rFonts w:ascii="Arial" w:eastAsia="Arial" w:hAnsi="Arial" w:cs="Arial"/>
          <w:i/>
          <w:color w:val="263238"/>
          <w:sz w:val="20"/>
          <w:szCs w:val="24"/>
        </w:rPr>
        <w:t>Field</w:t>
      </w:r>
      <w:r w:rsidR="008F166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C34F52">
        <w:rPr>
          <w:rFonts w:ascii="Arial" w:eastAsia="Arial" w:hAnsi="Arial" w:cs="Arial"/>
          <w:i/>
          <w:color w:val="263238"/>
          <w:sz w:val="20"/>
          <w:szCs w:val="24"/>
        </w:rPr>
        <w:t>Offices</w:t>
      </w:r>
      <w:r w:rsidR="008F166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="007A0CCF" w:rsidRPr="007A0CCF">
        <w:rPr>
          <w:rFonts w:ascii="Arial" w:eastAsia="Arial" w:hAnsi="Arial" w:cs="Arial"/>
          <w:i/>
          <w:color w:val="263238"/>
          <w:sz w:val="20"/>
          <w:szCs w:val="24"/>
        </w:rPr>
        <w:t>for</w:t>
      </w:r>
      <w:r w:rsidR="008F166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="007A0CCF" w:rsidRPr="007A0CCF">
        <w:rPr>
          <w:rFonts w:ascii="Arial" w:eastAsia="Arial" w:hAnsi="Arial" w:cs="Arial"/>
          <w:i/>
          <w:color w:val="263238"/>
          <w:sz w:val="20"/>
          <w:szCs w:val="24"/>
        </w:rPr>
        <w:t>updating</w:t>
      </w:r>
      <w:r w:rsidR="008F166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="007A0CCF" w:rsidRPr="007A0CCF">
        <w:rPr>
          <w:rFonts w:ascii="Arial" w:eastAsia="Arial" w:hAnsi="Arial" w:cs="Arial"/>
          <w:i/>
          <w:color w:val="263238"/>
          <w:sz w:val="20"/>
          <w:szCs w:val="24"/>
        </w:rPr>
        <w:t>of</w:t>
      </w:r>
      <w:r w:rsidR="008F166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="007A0CCF" w:rsidRPr="007A0CCF">
        <w:rPr>
          <w:rFonts w:ascii="Arial" w:eastAsia="Arial" w:hAnsi="Arial" w:cs="Arial"/>
          <w:i/>
          <w:color w:val="263238"/>
          <w:sz w:val="20"/>
          <w:szCs w:val="24"/>
        </w:rPr>
        <w:t>regional</w:t>
      </w:r>
      <w:r w:rsidR="008F166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="007A0CCF" w:rsidRPr="007A0CCF">
        <w:rPr>
          <w:rFonts w:ascii="Arial" w:eastAsia="Arial" w:hAnsi="Arial" w:cs="Arial"/>
          <w:i/>
          <w:color w:val="263238"/>
          <w:sz w:val="20"/>
          <w:szCs w:val="24"/>
        </w:rPr>
        <w:t>situation</w:t>
      </w:r>
      <w:r w:rsidR="008F166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="007A0CCF" w:rsidRPr="007A0CCF">
        <w:rPr>
          <w:rFonts w:ascii="Arial" w:eastAsia="Arial" w:hAnsi="Arial" w:cs="Arial"/>
          <w:i/>
          <w:color w:val="263238"/>
          <w:sz w:val="20"/>
          <w:szCs w:val="24"/>
        </w:rPr>
        <w:t>and</w:t>
      </w:r>
      <w:r w:rsidR="008F166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="007A0CCF" w:rsidRPr="007A0CCF">
        <w:rPr>
          <w:rFonts w:ascii="Arial" w:eastAsia="Arial" w:hAnsi="Arial" w:cs="Arial"/>
          <w:i/>
          <w:color w:val="263238"/>
          <w:sz w:val="20"/>
          <w:szCs w:val="24"/>
        </w:rPr>
        <w:t>preparedness</w:t>
      </w:r>
      <w:r w:rsidR="008F166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="007A0CCF" w:rsidRPr="007A0CCF">
        <w:rPr>
          <w:rFonts w:ascii="Arial" w:eastAsia="Arial" w:hAnsi="Arial" w:cs="Arial"/>
          <w:i/>
          <w:color w:val="263238"/>
          <w:sz w:val="20"/>
          <w:szCs w:val="24"/>
        </w:rPr>
        <w:t>for</w:t>
      </w:r>
      <w:r w:rsidR="008F166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="007A0CCF" w:rsidRPr="007A0CCF">
        <w:rPr>
          <w:rFonts w:ascii="Arial" w:eastAsia="Arial" w:hAnsi="Arial" w:cs="Arial"/>
          <w:i/>
          <w:color w:val="263238"/>
          <w:sz w:val="20"/>
          <w:szCs w:val="24"/>
        </w:rPr>
        <w:t>response</w:t>
      </w:r>
      <w:r w:rsidR="007A0CCF">
        <w:rPr>
          <w:rFonts w:ascii="Arial" w:eastAsia="Arial" w:hAnsi="Arial" w:cs="Arial"/>
          <w:i/>
          <w:color w:val="263238"/>
          <w:sz w:val="20"/>
          <w:szCs w:val="24"/>
        </w:rPr>
        <w:t>.</w:t>
      </w:r>
      <w:r w:rsidR="008F166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</w:p>
    <w:p w14:paraId="5C039132" w14:textId="3CACB6F0" w:rsidR="00475561" w:rsidRPr="00C431B1" w:rsidRDefault="00C34F5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C34F52">
        <w:rPr>
          <w:rFonts w:ascii="Arial" w:eastAsia="Arial" w:hAnsi="Arial" w:cs="Arial"/>
          <w:i/>
          <w:color w:val="263238"/>
          <w:sz w:val="20"/>
          <w:szCs w:val="24"/>
        </w:rPr>
        <w:t>.</w:t>
      </w:r>
    </w:p>
    <w:p w14:paraId="26F720A5" w14:textId="77777777" w:rsidR="00312516" w:rsidRPr="00C431B1" w:rsidRDefault="00312516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C431B1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18519B1F" w:rsidR="00C9090C" w:rsidRPr="00C431B1" w:rsidRDefault="00F254D0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MARC</w:t>
      </w:r>
      <w:r w:rsidR="008F1660">
        <w:rPr>
          <w:rFonts w:ascii="Arial" w:eastAsia="Arial" w:hAnsi="Arial" w:cs="Arial"/>
          <w:b/>
          <w:color w:val="2632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63238"/>
          <w:sz w:val="24"/>
          <w:szCs w:val="24"/>
        </w:rPr>
        <w:t>LEO</w:t>
      </w:r>
      <w:r w:rsidR="008F1660">
        <w:rPr>
          <w:rFonts w:ascii="Arial" w:eastAsia="Arial" w:hAnsi="Arial" w:cs="Arial"/>
          <w:b/>
          <w:color w:val="2632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63238"/>
          <w:sz w:val="24"/>
          <w:szCs w:val="24"/>
        </w:rPr>
        <w:t>L.</w:t>
      </w:r>
      <w:r w:rsidR="008F1660">
        <w:rPr>
          <w:rFonts w:ascii="Arial" w:eastAsia="Arial" w:hAnsi="Arial" w:cs="Arial"/>
          <w:b/>
          <w:color w:val="2632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63238"/>
          <w:sz w:val="24"/>
          <w:szCs w:val="24"/>
        </w:rPr>
        <w:t>BUTAC</w:t>
      </w:r>
    </w:p>
    <w:p w14:paraId="57A0E179" w14:textId="505B4F90" w:rsidR="00C9090C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431B1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8F1660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C431B1">
        <w:rPr>
          <w:rFonts w:ascii="Arial" w:eastAsia="Arial" w:hAnsi="Arial" w:cs="Arial"/>
          <w:sz w:val="24"/>
          <w:szCs w:val="24"/>
          <w:highlight w:val="white"/>
        </w:rPr>
        <w:t>Officer</w:t>
      </w:r>
      <w:r w:rsidR="008F1660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34D3FD66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3ACF591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D558867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55EB142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CC302A7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04973B2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CE841E5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5349395" w14:textId="01715ABB" w:rsidR="00166062" w:rsidRPr="00C431B1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166062" w:rsidRPr="00C431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5B4C4" w14:textId="77777777" w:rsidR="00F459A0" w:rsidRDefault="00F459A0">
      <w:pPr>
        <w:spacing w:after="0" w:line="240" w:lineRule="auto"/>
      </w:pPr>
      <w:r>
        <w:separator/>
      </w:r>
    </w:p>
  </w:endnote>
  <w:endnote w:type="continuationSeparator" w:id="0">
    <w:p w14:paraId="3E3A32F6" w14:textId="77777777" w:rsidR="00F459A0" w:rsidRDefault="00F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8F1660" w:rsidRDefault="008F16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8F1660" w:rsidRPr="00F24B77" w:rsidRDefault="008F166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3601FE49" w:rsidR="008F1660" w:rsidRPr="00F24B77" w:rsidRDefault="008F1660" w:rsidP="00924C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7A69AB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7A69AB">
      <w:rPr>
        <w:rFonts w:ascii="Arial" w:hAnsi="Arial" w:cs="Arial"/>
        <w:noProof/>
        <w:sz w:val="14"/>
        <w:szCs w:val="18"/>
      </w:rPr>
      <w:t>5</w:t>
    </w:r>
    <w:r w:rsidRPr="00F24B77">
      <w:rPr>
        <w:rFonts w:ascii="Arial" w:hAnsi="Arial" w:cs="Arial"/>
        <w:sz w:val="14"/>
        <w:szCs w:val="18"/>
      </w:rPr>
      <w:fldChar w:fldCharType="end"/>
    </w:r>
    <w:r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Pr="00924CB0">
      <w:rPr>
        <w:rFonts w:ascii="Arial" w:eastAsia="Arial" w:hAnsi="Arial" w:cs="Arial"/>
        <w:sz w:val="14"/>
        <w:szCs w:val="18"/>
      </w:rPr>
      <w:t xml:space="preserve">DSWD DROMIC </w:t>
    </w:r>
    <w:r>
      <w:rPr>
        <w:rFonts w:ascii="Arial" w:eastAsia="Arial" w:hAnsi="Arial" w:cs="Arial"/>
        <w:sz w:val="14"/>
        <w:szCs w:val="18"/>
      </w:rPr>
      <w:t xml:space="preserve">Preparedness for Response </w:t>
    </w:r>
    <w:r w:rsidRPr="00924CB0">
      <w:rPr>
        <w:rFonts w:ascii="Arial" w:eastAsia="Arial" w:hAnsi="Arial" w:cs="Arial"/>
        <w:sz w:val="14"/>
        <w:szCs w:val="18"/>
      </w:rPr>
      <w:t>R</w:t>
    </w:r>
    <w:r>
      <w:rPr>
        <w:rFonts w:ascii="Arial" w:eastAsia="Arial" w:hAnsi="Arial" w:cs="Arial"/>
        <w:sz w:val="14"/>
        <w:szCs w:val="18"/>
      </w:rPr>
      <w:t xml:space="preserve">eport #1 on the Observance of </w:t>
    </w:r>
    <w:proofErr w:type="spellStart"/>
    <w:r>
      <w:rPr>
        <w:rFonts w:ascii="Arial" w:eastAsia="Arial" w:hAnsi="Arial" w:cs="Arial"/>
        <w:sz w:val="14"/>
        <w:szCs w:val="18"/>
      </w:rPr>
      <w:t>Semana</w:t>
    </w:r>
    <w:proofErr w:type="spellEnd"/>
    <w:r>
      <w:rPr>
        <w:rFonts w:ascii="Arial" w:eastAsia="Arial" w:hAnsi="Arial" w:cs="Arial"/>
        <w:sz w:val="14"/>
        <w:szCs w:val="18"/>
      </w:rPr>
      <w:t xml:space="preserve"> Santa 2019 </w:t>
    </w:r>
    <w:r w:rsidRPr="00924CB0">
      <w:rPr>
        <w:rFonts w:ascii="Arial" w:eastAsia="Arial" w:hAnsi="Arial" w:cs="Arial"/>
        <w:sz w:val="14"/>
        <w:szCs w:val="18"/>
      </w:rPr>
      <w:t xml:space="preserve">as of </w:t>
    </w:r>
    <w:r>
      <w:rPr>
        <w:rFonts w:ascii="Arial" w:eastAsia="Arial" w:hAnsi="Arial" w:cs="Arial"/>
        <w:sz w:val="14"/>
        <w:szCs w:val="18"/>
      </w:rPr>
      <w:t xml:space="preserve">15 </w:t>
    </w:r>
    <w:r w:rsidRPr="00924CB0">
      <w:rPr>
        <w:rFonts w:ascii="Arial" w:eastAsia="Arial" w:hAnsi="Arial" w:cs="Arial"/>
        <w:sz w:val="14"/>
        <w:szCs w:val="18"/>
      </w:rPr>
      <w:t xml:space="preserve">April 2019, </w:t>
    </w:r>
    <w:r>
      <w:rPr>
        <w:rFonts w:ascii="Arial" w:eastAsia="Arial" w:hAnsi="Arial" w:cs="Arial"/>
        <w:sz w:val="14"/>
        <w:szCs w:val="18"/>
      </w:rPr>
      <w:t>6</w:t>
    </w:r>
    <w:r w:rsidRPr="00924CB0">
      <w:rPr>
        <w:rFonts w:ascii="Arial" w:eastAsia="Arial" w:hAnsi="Arial" w:cs="Arial"/>
        <w:sz w:val="14"/>
        <w:szCs w:val="18"/>
      </w:rPr>
      <w:t>PM</w:t>
    </w:r>
  </w:p>
  <w:p w14:paraId="0645D380" w14:textId="23C83138" w:rsidR="008F1660" w:rsidRPr="00F24B77" w:rsidRDefault="008F1660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8F1660" w:rsidRDefault="008F16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64CE7" w14:textId="77777777" w:rsidR="00F459A0" w:rsidRDefault="00F459A0">
      <w:pPr>
        <w:spacing w:after="0" w:line="240" w:lineRule="auto"/>
      </w:pPr>
      <w:r>
        <w:separator/>
      </w:r>
    </w:p>
  </w:footnote>
  <w:footnote w:type="continuationSeparator" w:id="0">
    <w:p w14:paraId="5879444F" w14:textId="77777777" w:rsidR="00F459A0" w:rsidRDefault="00F4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8F1660" w:rsidRDefault="008F16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8F1660" w:rsidRDefault="008F166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8F1660" w:rsidRDefault="008F166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8F1660" w:rsidRDefault="008F166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8F1660" w:rsidRPr="00AC4062" w:rsidRDefault="008F1660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8F1660" w:rsidRDefault="008F16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10431"/>
    <w:multiLevelType w:val="hybridMultilevel"/>
    <w:tmpl w:val="6B620422"/>
    <w:lvl w:ilvl="0" w:tplc="55D67A7C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7660EA1"/>
    <w:multiLevelType w:val="hybridMultilevel"/>
    <w:tmpl w:val="88C6ACF4"/>
    <w:lvl w:ilvl="0" w:tplc="F1283D9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C44344D"/>
    <w:multiLevelType w:val="hybridMultilevel"/>
    <w:tmpl w:val="564621CE"/>
    <w:lvl w:ilvl="0" w:tplc="448E5238">
      <w:start w:val="2"/>
      <w:numFmt w:val="lowerLetter"/>
      <w:lvlText w:val="%1."/>
      <w:lvlJc w:val="left"/>
      <w:pPr>
        <w:tabs>
          <w:tab w:val="num" w:pos="810"/>
        </w:tabs>
        <w:ind w:left="810" w:hanging="360"/>
      </w:pPr>
    </w:lvl>
    <w:lvl w:ilvl="1" w:tplc="BD3AEBEE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930499F0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FF4E17A6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BF4A1520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AD7C1806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EC1A5CFC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A31E6720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C9B2316E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7">
    <w:nsid w:val="41CF5470"/>
    <w:multiLevelType w:val="hybridMultilevel"/>
    <w:tmpl w:val="2838673C"/>
    <w:lvl w:ilvl="0" w:tplc="A43C036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A057689"/>
    <w:multiLevelType w:val="hybridMultilevel"/>
    <w:tmpl w:val="AE6AAB84"/>
    <w:lvl w:ilvl="0" w:tplc="ED94EE9E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90D9E"/>
    <w:multiLevelType w:val="multilevel"/>
    <w:tmpl w:val="2D02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21261"/>
    <w:multiLevelType w:val="hybridMultilevel"/>
    <w:tmpl w:val="28B89668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F4507D6"/>
    <w:multiLevelType w:val="hybridMultilevel"/>
    <w:tmpl w:val="A84E2C88"/>
    <w:lvl w:ilvl="0" w:tplc="A67C5768">
      <w:start w:val="10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7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9"/>
  </w:num>
  <w:num w:numId="5">
    <w:abstractNumId w:val="11"/>
  </w:num>
  <w:num w:numId="6">
    <w:abstractNumId w:val="14"/>
  </w:num>
  <w:num w:numId="7">
    <w:abstractNumId w:val="8"/>
  </w:num>
  <w:num w:numId="8">
    <w:abstractNumId w:val="17"/>
  </w:num>
  <w:num w:numId="9">
    <w:abstractNumId w:val="5"/>
  </w:num>
  <w:num w:numId="10">
    <w:abstractNumId w:val="0"/>
  </w:num>
  <w:num w:numId="11">
    <w:abstractNumId w:val="12"/>
  </w:num>
  <w:num w:numId="12">
    <w:abstractNumId w:val="10"/>
  </w:num>
  <w:num w:numId="13">
    <w:abstractNumId w:val="15"/>
  </w:num>
  <w:num w:numId="14">
    <w:abstractNumId w:val="1"/>
  </w:num>
  <w:num w:numId="15">
    <w:abstractNumId w:val="7"/>
  </w:num>
  <w:num w:numId="16">
    <w:abstractNumId w:val="13"/>
    <w:lvlOverride w:ilvl="0">
      <w:lvl w:ilvl="0">
        <w:numFmt w:val="lowerLetter"/>
        <w:lvlText w:val="%1."/>
        <w:lvlJc w:val="left"/>
      </w:lvl>
    </w:lvlOverride>
  </w:num>
  <w:num w:numId="17">
    <w:abstractNumId w:val="6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55CBA"/>
    <w:rsid w:val="000708D9"/>
    <w:rsid w:val="00076785"/>
    <w:rsid w:val="00077D1C"/>
    <w:rsid w:val="00083789"/>
    <w:rsid w:val="00090371"/>
    <w:rsid w:val="00093334"/>
    <w:rsid w:val="00096310"/>
    <w:rsid w:val="000C60CE"/>
    <w:rsid w:val="000E2AEE"/>
    <w:rsid w:val="000E34CC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47F73"/>
    <w:rsid w:val="001528EE"/>
    <w:rsid w:val="00153B9F"/>
    <w:rsid w:val="00155842"/>
    <w:rsid w:val="00160189"/>
    <w:rsid w:val="00166062"/>
    <w:rsid w:val="00170A71"/>
    <w:rsid w:val="00182154"/>
    <w:rsid w:val="001823AB"/>
    <w:rsid w:val="001847A6"/>
    <w:rsid w:val="00186433"/>
    <w:rsid w:val="00186D96"/>
    <w:rsid w:val="001875D1"/>
    <w:rsid w:val="001B2088"/>
    <w:rsid w:val="001B4682"/>
    <w:rsid w:val="001B6619"/>
    <w:rsid w:val="001B76F6"/>
    <w:rsid w:val="001E404B"/>
    <w:rsid w:val="001E5944"/>
    <w:rsid w:val="001F0486"/>
    <w:rsid w:val="0020151B"/>
    <w:rsid w:val="00204FE4"/>
    <w:rsid w:val="002203D3"/>
    <w:rsid w:val="00222413"/>
    <w:rsid w:val="00222C1E"/>
    <w:rsid w:val="00224104"/>
    <w:rsid w:val="00243402"/>
    <w:rsid w:val="00246C19"/>
    <w:rsid w:val="0024715B"/>
    <w:rsid w:val="00250D5A"/>
    <w:rsid w:val="00262F03"/>
    <w:rsid w:val="002671F0"/>
    <w:rsid w:val="002741A1"/>
    <w:rsid w:val="002742CD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6901"/>
    <w:rsid w:val="002C7968"/>
    <w:rsid w:val="002D320D"/>
    <w:rsid w:val="002D5147"/>
    <w:rsid w:val="002D6344"/>
    <w:rsid w:val="002D7DFE"/>
    <w:rsid w:val="002E689A"/>
    <w:rsid w:val="002F07D4"/>
    <w:rsid w:val="002F12D3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31AB1"/>
    <w:rsid w:val="003326EE"/>
    <w:rsid w:val="0035250A"/>
    <w:rsid w:val="00357104"/>
    <w:rsid w:val="00364261"/>
    <w:rsid w:val="00371C7A"/>
    <w:rsid w:val="00375AE7"/>
    <w:rsid w:val="00375C00"/>
    <w:rsid w:val="003854B6"/>
    <w:rsid w:val="00387EBD"/>
    <w:rsid w:val="0039157E"/>
    <w:rsid w:val="00393D07"/>
    <w:rsid w:val="00393EED"/>
    <w:rsid w:val="003A6817"/>
    <w:rsid w:val="003C3015"/>
    <w:rsid w:val="003F0F20"/>
    <w:rsid w:val="003F13F3"/>
    <w:rsid w:val="003F34C4"/>
    <w:rsid w:val="00404BC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67B76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1F9B"/>
    <w:rsid w:val="004E58E2"/>
    <w:rsid w:val="004F3CA8"/>
    <w:rsid w:val="004F7A24"/>
    <w:rsid w:val="0051043F"/>
    <w:rsid w:val="005205EB"/>
    <w:rsid w:val="00524402"/>
    <w:rsid w:val="00526FA0"/>
    <w:rsid w:val="00564400"/>
    <w:rsid w:val="005707CE"/>
    <w:rsid w:val="005714F3"/>
    <w:rsid w:val="0058313A"/>
    <w:rsid w:val="005838F4"/>
    <w:rsid w:val="00590B6B"/>
    <w:rsid w:val="00590DC9"/>
    <w:rsid w:val="005924AF"/>
    <w:rsid w:val="00596FC3"/>
    <w:rsid w:val="005A10C2"/>
    <w:rsid w:val="005A2012"/>
    <w:rsid w:val="005B7B3E"/>
    <w:rsid w:val="005E3370"/>
    <w:rsid w:val="005F7749"/>
    <w:rsid w:val="00602FBC"/>
    <w:rsid w:val="00604C05"/>
    <w:rsid w:val="006128E3"/>
    <w:rsid w:val="0061712D"/>
    <w:rsid w:val="0061793C"/>
    <w:rsid w:val="00645972"/>
    <w:rsid w:val="0065029D"/>
    <w:rsid w:val="00651F59"/>
    <w:rsid w:val="00662AEB"/>
    <w:rsid w:val="00662BAE"/>
    <w:rsid w:val="006638C4"/>
    <w:rsid w:val="006650DE"/>
    <w:rsid w:val="00672917"/>
    <w:rsid w:val="0069567C"/>
    <w:rsid w:val="0069788A"/>
    <w:rsid w:val="006A6903"/>
    <w:rsid w:val="006B6DC3"/>
    <w:rsid w:val="006B7F71"/>
    <w:rsid w:val="006C0FE2"/>
    <w:rsid w:val="006C1F39"/>
    <w:rsid w:val="006C514D"/>
    <w:rsid w:val="006C6E52"/>
    <w:rsid w:val="006C7E5F"/>
    <w:rsid w:val="006E2AB6"/>
    <w:rsid w:val="006F0656"/>
    <w:rsid w:val="006F7673"/>
    <w:rsid w:val="00702671"/>
    <w:rsid w:val="00702B70"/>
    <w:rsid w:val="0070366A"/>
    <w:rsid w:val="007202DE"/>
    <w:rsid w:val="00721CF9"/>
    <w:rsid w:val="007312E3"/>
    <w:rsid w:val="007313BB"/>
    <w:rsid w:val="0073140C"/>
    <w:rsid w:val="0073758B"/>
    <w:rsid w:val="007550BB"/>
    <w:rsid w:val="0077218D"/>
    <w:rsid w:val="00776A1F"/>
    <w:rsid w:val="00794161"/>
    <w:rsid w:val="00795D24"/>
    <w:rsid w:val="007965D4"/>
    <w:rsid w:val="00796AC1"/>
    <w:rsid w:val="007A0CCF"/>
    <w:rsid w:val="007A4F6E"/>
    <w:rsid w:val="007A69AB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655B"/>
    <w:rsid w:val="008524BB"/>
    <w:rsid w:val="00853C77"/>
    <w:rsid w:val="008551A9"/>
    <w:rsid w:val="00855B99"/>
    <w:rsid w:val="00871F0E"/>
    <w:rsid w:val="00881096"/>
    <w:rsid w:val="008816E5"/>
    <w:rsid w:val="008A0185"/>
    <w:rsid w:val="008B1217"/>
    <w:rsid w:val="008C6892"/>
    <w:rsid w:val="008C69B2"/>
    <w:rsid w:val="008C6D94"/>
    <w:rsid w:val="008E4068"/>
    <w:rsid w:val="008E6099"/>
    <w:rsid w:val="008F1660"/>
    <w:rsid w:val="008F1FFB"/>
    <w:rsid w:val="008F5DFF"/>
    <w:rsid w:val="00901E90"/>
    <w:rsid w:val="009112F7"/>
    <w:rsid w:val="0091510D"/>
    <w:rsid w:val="00924CB0"/>
    <w:rsid w:val="00927484"/>
    <w:rsid w:val="009279A3"/>
    <w:rsid w:val="00931158"/>
    <w:rsid w:val="0094182F"/>
    <w:rsid w:val="00954C16"/>
    <w:rsid w:val="00970CF8"/>
    <w:rsid w:val="0097124E"/>
    <w:rsid w:val="00973447"/>
    <w:rsid w:val="00975BF1"/>
    <w:rsid w:val="009804E3"/>
    <w:rsid w:val="009808ED"/>
    <w:rsid w:val="00982647"/>
    <w:rsid w:val="00985089"/>
    <w:rsid w:val="009A13CE"/>
    <w:rsid w:val="009A7847"/>
    <w:rsid w:val="009A7AB7"/>
    <w:rsid w:val="009B43CB"/>
    <w:rsid w:val="009B5C96"/>
    <w:rsid w:val="009C2BF6"/>
    <w:rsid w:val="009C3611"/>
    <w:rsid w:val="009D3FF0"/>
    <w:rsid w:val="009D7FD6"/>
    <w:rsid w:val="009E122F"/>
    <w:rsid w:val="009E2494"/>
    <w:rsid w:val="009F6591"/>
    <w:rsid w:val="00A055F1"/>
    <w:rsid w:val="00A11CE7"/>
    <w:rsid w:val="00A1443E"/>
    <w:rsid w:val="00A15CC7"/>
    <w:rsid w:val="00A1706A"/>
    <w:rsid w:val="00A3013B"/>
    <w:rsid w:val="00A3080E"/>
    <w:rsid w:val="00A32224"/>
    <w:rsid w:val="00A4163C"/>
    <w:rsid w:val="00A41C41"/>
    <w:rsid w:val="00A424AB"/>
    <w:rsid w:val="00A42AB0"/>
    <w:rsid w:val="00A62258"/>
    <w:rsid w:val="00A63054"/>
    <w:rsid w:val="00A74B70"/>
    <w:rsid w:val="00A81B41"/>
    <w:rsid w:val="00A820CC"/>
    <w:rsid w:val="00A8218F"/>
    <w:rsid w:val="00A87502"/>
    <w:rsid w:val="00A90A4C"/>
    <w:rsid w:val="00A915D0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147C"/>
    <w:rsid w:val="00B17722"/>
    <w:rsid w:val="00B274F2"/>
    <w:rsid w:val="00B3139B"/>
    <w:rsid w:val="00B31859"/>
    <w:rsid w:val="00B4083F"/>
    <w:rsid w:val="00B40F59"/>
    <w:rsid w:val="00B56338"/>
    <w:rsid w:val="00B622DA"/>
    <w:rsid w:val="00B62851"/>
    <w:rsid w:val="00B65182"/>
    <w:rsid w:val="00B75DA9"/>
    <w:rsid w:val="00B865A2"/>
    <w:rsid w:val="00B86763"/>
    <w:rsid w:val="00BB2F4A"/>
    <w:rsid w:val="00BB7248"/>
    <w:rsid w:val="00BC2AFC"/>
    <w:rsid w:val="00BC3DAD"/>
    <w:rsid w:val="00BC57D7"/>
    <w:rsid w:val="00BD1919"/>
    <w:rsid w:val="00BD3DCB"/>
    <w:rsid w:val="00BE47F2"/>
    <w:rsid w:val="00BF1CAE"/>
    <w:rsid w:val="00C018FB"/>
    <w:rsid w:val="00C039EE"/>
    <w:rsid w:val="00C16E9F"/>
    <w:rsid w:val="00C2287F"/>
    <w:rsid w:val="00C34F52"/>
    <w:rsid w:val="00C421C9"/>
    <w:rsid w:val="00C431B1"/>
    <w:rsid w:val="00C540D5"/>
    <w:rsid w:val="00C61BA3"/>
    <w:rsid w:val="00C71876"/>
    <w:rsid w:val="00C71B5A"/>
    <w:rsid w:val="00C81BAD"/>
    <w:rsid w:val="00C87850"/>
    <w:rsid w:val="00C90531"/>
    <w:rsid w:val="00C9090C"/>
    <w:rsid w:val="00C94159"/>
    <w:rsid w:val="00CA32F8"/>
    <w:rsid w:val="00CA73C9"/>
    <w:rsid w:val="00CB57AA"/>
    <w:rsid w:val="00CC2E29"/>
    <w:rsid w:val="00CC4362"/>
    <w:rsid w:val="00CD1243"/>
    <w:rsid w:val="00CD395F"/>
    <w:rsid w:val="00CE3E33"/>
    <w:rsid w:val="00CF10D1"/>
    <w:rsid w:val="00D0357D"/>
    <w:rsid w:val="00D05A14"/>
    <w:rsid w:val="00D1089F"/>
    <w:rsid w:val="00D10EA4"/>
    <w:rsid w:val="00D517A7"/>
    <w:rsid w:val="00D61622"/>
    <w:rsid w:val="00D63CC6"/>
    <w:rsid w:val="00D96A46"/>
    <w:rsid w:val="00DB3FC2"/>
    <w:rsid w:val="00DB4B44"/>
    <w:rsid w:val="00DC2272"/>
    <w:rsid w:val="00DC4256"/>
    <w:rsid w:val="00DC458A"/>
    <w:rsid w:val="00DC7C16"/>
    <w:rsid w:val="00DD070D"/>
    <w:rsid w:val="00DD3DDF"/>
    <w:rsid w:val="00DD506B"/>
    <w:rsid w:val="00DE2C90"/>
    <w:rsid w:val="00DF420F"/>
    <w:rsid w:val="00E15317"/>
    <w:rsid w:val="00E236E0"/>
    <w:rsid w:val="00E3101D"/>
    <w:rsid w:val="00E31DD3"/>
    <w:rsid w:val="00E32112"/>
    <w:rsid w:val="00E3253B"/>
    <w:rsid w:val="00E32DA2"/>
    <w:rsid w:val="00E33FCF"/>
    <w:rsid w:val="00E418EA"/>
    <w:rsid w:val="00E476B6"/>
    <w:rsid w:val="00E514CC"/>
    <w:rsid w:val="00E56999"/>
    <w:rsid w:val="00E61798"/>
    <w:rsid w:val="00E66AEB"/>
    <w:rsid w:val="00E729F0"/>
    <w:rsid w:val="00E755D3"/>
    <w:rsid w:val="00E776F7"/>
    <w:rsid w:val="00E8312E"/>
    <w:rsid w:val="00E97EC4"/>
    <w:rsid w:val="00EA3452"/>
    <w:rsid w:val="00EA65DB"/>
    <w:rsid w:val="00EB31D4"/>
    <w:rsid w:val="00EB7268"/>
    <w:rsid w:val="00EC1834"/>
    <w:rsid w:val="00EC24DD"/>
    <w:rsid w:val="00EC2BF7"/>
    <w:rsid w:val="00ED336C"/>
    <w:rsid w:val="00EE423D"/>
    <w:rsid w:val="00EE49D0"/>
    <w:rsid w:val="00EE4D06"/>
    <w:rsid w:val="00EE646E"/>
    <w:rsid w:val="00EF0E3A"/>
    <w:rsid w:val="00EF1A75"/>
    <w:rsid w:val="00EF2BE1"/>
    <w:rsid w:val="00EF34B8"/>
    <w:rsid w:val="00F066B0"/>
    <w:rsid w:val="00F15F41"/>
    <w:rsid w:val="00F1663D"/>
    <w:rsid w:val="00F2441C"/>
    <w:rsid w:val="00F24B77"/>
    <w:rsid w:val="00F24B78"/>
    <w:rsid w:val="00F254D0"/>
    <w:rsid w:val="00F32323"/>
    <w:rsid w:val="00F459A0"/>
    <w:rsid w:val="00F53512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AD6889B1-F54B-4ABB-84C1-C90CC28C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4895881953436305508gmail-msonormal">
    <w:name w:val="m_4895881953436305508gmail-msonormal"/>
    <w:basedOn w:val="Normal"/>
    <w:rsid w:val="006128E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0FE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C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ong.pagasa.dost.gov.ph/weathe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4431F-7BD9-435C-8414-2C2E91DF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4</cp:revision>
  <dcterms:created xsi:type="dcterms:W3CDTF">2019-04-15T08:59:00Z</dcterms:created>
  <dcterms:modified xsi:type="dcterms:W3CDTF">2019-04-15T09:20:00Z</dcterms:modified>
</cp:coreProperties>
</file>