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255FED" w14:textId="7BCBFC60" w:rsidR="002D1983" w:rsidRDefault="006D0DD6" w:rsidP="002D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 on the</w:t>
      </w:r>
      <w:r w:rsidR="002D1983">
        <w:rPr>
          <w:rFonts w:ascii="Arial" w:eastAsia="Arial" w:hAnsi="Arial" w:cs="Arial"/>
          <w:b/>
          <w:sz w:val="32"/>
          <w:szCs w:val="24"/>
        </w:rPr>
        <w:t xml:space="preserve"> </w:t>
      </w:r>
      <w:r w:rsidR="00F573ED">
        <w:rPr>
          <w:rFonts w:ascii="Arial" w:eastAsia="Arial" w:hAnsi="Arial" w:cs="Arial"/>
          <w:b/>
          <w:sz w:val="32"/>
          <w:szCs w:val="24"/>
        </w:rPr>
        <w:t>Armed Conflict</w:t>
      </w:r>
    </w:p>
    <w:p w14:paraId="434C8D6F" w14:textId="54E10453" w:rsidR="00000CC0" w:rsidRPr="00EC5F21" w:rsidRDefault="002D1983" w:rsidP="002D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F573ED">
        <w:rPr>
          <w:rFonts w:ascii="Arial" w:eastAsia="Arial" w:hAnsi="Arial" w:cs="Arial"/>
          <w:b/>
          <w:sz w:val="32"/>
          <w:szCs w:val="24"/>
        </w:rPr>
        <w:t>Bindoy, Negros Oriental</w:t>
      </w:r>
    </w:p>
    <w:p w14:paraId="1808A9E3" w14:textId="648A31CD" w:rsidR="001149A2" w:rsidRPr="00EC5F21" w:rsidRDefault="00D567C6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>1</w:t>
      </w:r>
      <w:r w:rsidR="00F573ED">
        <w:rPr>
          <w:rFonts w:ascii="Arial" w:eastAsia="Arial" w:hAnsi="Arial" w:cs="Arial"/>
          <w:sz w:val="24"/>
          <w:szCs w:val="24"/>
        </w:rPr>
        <w:t>9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204CA0">
        <w:rPr>
          <w:rFonts w:ascii="Arial" w:eastAsia="Arial" w:hAnsi="Arial" w:cs="Arial"/>
          <w:sz w:val="24"/>
          <w:szCs w:val="24"/>
        </w:rPr>
        <w:t>April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573ED">
        <w:rPr>
          <w:rFonts w:ascii="Arial" w:eastAsia="Arial" w:hAnsi="Arial" w:cs="Arial"/>
          <w:sz w:val="24"/>
          <w:szCs w:val="24"/>
        </w:rPr>
        <w:t>3</w:t>
      </w:r>
      <w:r w:rsidR="006D0DD6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EC5F21" w:rsidRDefault="00046FA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EC5F21" w:rsidRDefault="00D10EA4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EC5F2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EC5F21" w:rsidRDefault="0097590D" w:rsidP="00EC5F2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9743B9" w14:textId="11268474" w:rsidR="00EC5F21" w:rsidRPr="00322C4F" w:rsidRDefault="006D0DD6" w:rsidP="006D0DD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22C4F">
        <w:rPr>
          <w:rFonts w:ascii="Arial" w:eastAsia="Arial" w:hAnsi="Arial" w:cs="Arial"/>
          <w:sz w:val="24"/>
          <w:szCs w:val="24"/>
        </w:rPr>
        <w:t xml:space="preserve">This is the final report on the </w:t>
      </w:r>
      <w:r w:rsidR="00F573ED">
        <w:rPr>
          <w:rFonts w:ascii="Arial" w:eastAsia="Arial" w:hAnsi="Arial" w:cs="Arial"/>
          <w:sz w:val="24"/>
          <w:szCs w:val="24"/>
        </w:rPr>
        <w:t xml:space="preserve">armed conflict transpired between the </w:t>
      </w:r>
      <w:r w:rsidR="00D90FE9">
        <w:rPr>
          <w:rFonts w:ascii="Arial" w:eastAsia="Arial" w:hAnsi="Arial" w:cs="Arial"/>
          <w:sz w:val="24"/>
          <w:szCs w:val="24"/>
        </w:rPr>
        <w:t>94</w:t>
      </w:r>
      <w:r w:rsidR="00D90FE9" w:rsidRPr="00D90FE9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D90FE9">
        <w:rPr>
          <w:rFonts w:ascii="Arial" w:eastAsia="Arial" w:hAnsi="Arial" w:cs="Arial"/>
          <w:sz w:val="24"/>
          <w:szCs w:val="24"/>
        </w:rPr>
        <w:t xml:space="preserve"> </w:t>
      </w:r>
      <w:r w:rsidR="00F573ED">
        <w:rPr>
          <w:rFonts w:ascii="Arial" w:eastAsia="Arial" w:hAnsi="Arial" w:cs="Arial"/>
          <w:sz w:val="24"/>
          <w:szCs w:val="24"/>
        </w:rPr>
        <w:t xml:space="preserve">Infantry </w:t>
      </w:r>
      <w:r w:rsidR="00D90FE9">
        <w:rPr>
          <w:rFonts w:ascii="Arial" w:eastAsia="Arial" w:hAnsi="Arial" w:cs="Arial"/>
          <w:sz w:val="24"/>
          <w:szCs w:val="24"/>
        </w:rPr>
        <w:t xml:space="preserve">(MANDIRIGMA) </w:t>
      </w:r>
      <w:r w:rsidR="00F573ED">
        <w:rPr>
          <w:rFonts w:ascii="Arial" w:eastAsia="Arial" w:hAnsi="Arial" w:cs="Arial"/>
          <w:sz w:val="24"/>
          <w:szCs w:val="24"/>
        </w:rPr>
        <w:t>Battalion (IB) of the Philippine Army and New People’s Army (NPA) in Brgy. Cabcaban, Bindoy, Negros Oriental on 14 April 2019.</w:t>
      </w:r>
      <w:r w:rsidR="002D1983" w:rsidRPr="00322C4F">
        <w:rPr>
          <w:rFonts w:ascii="Arial" w:eastAsia="Arial" w:hAnsi="Arial" w:cs="Arial"/>
          <w:sz w:val="24"/>
          <w:szCs w:val="24"/>
        </w:rPr>
        <w:t xml:space="preserve"> </w:t>
      </w:r>
    </w:p>
    <w:p w14:paraId="55E3DF50" w14:textId="5F343D51" w:rsidR="00AD2091" w:rsidRPr="00EC5F21" w:rsidRDefault="001149A2" w:rsidP="00ED088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573ED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6B74EF7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F0DF08" w14:textId="76D407B2" w:rsidR="004C3CAD" w:rsidRPr="00EC5F21" w:rsidRDefault="001149A2" w:rsidP="00EC5F2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555E682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0DD6">
        <w:rPr>
          <w:rFonts w:ascii="Arial" w:eastAsia="Arial" w:hAnsi="Arial" w:cs="Arial"/>
          <w:sz w:val="24"/>
          <w:szCs w:val="24"/>
        </w:rPr>
        <w:t xml:space="preserve">A total of </w:t>
      </w:r>
      <w:r w:rsidR="001E5C7A" w:rsidRPr="001E5C7A">
        <w:rPr>
          <w:rFonts w:ascii="Arial" w:eastAsia="Arial" w:hAnsi="Arial" w:cs="Arial"/>
          <w:b/>
          <w:color w:val="0070C0"/>
          <w:sz w:val="24"/>
          <w:szCs w:val="24"/>
        </w:rPr>
        <w:t>411</w:t>
      </w:r>
      <w:r w:rsidRPr="001E5C7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1E5C7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D0DD6">
        <w:rPr>
          <w:rFonts w:ascii="Arial" w:eastAsia="Arial" w:hAnsi="Arial" w:cs="Arial"/>
          <w:sz w:val="24"/>
          <w:szCs w:val="24"/>
        </w:rPr>
        <w:t xml:space="preserve">or </w:t>
      </w:r>
      <w:r w:rsidR="00204CA0" w:rsidRPr="001E5C7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E5C7A" w:rsidRPr="001E5C7A">
        <w:rPr>
          <w:rFonts w:ascii="Arial" w:eastAsia="Arial" w:hAnsi="Arial" w:cs="Arial"/>
          <w:b/>
          <w:color w:val="0070C0"/>
          <w:sz w:val="24"/>
          <w:szCs w:val="24"/>
        </w:rPr>
        <w:t>,094</w:t>
      </w:r>
      <w:r w:rsidRPr="001E5C7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1E5C7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6D0DD6">
        <w:rPr>
          <w:rFonts w:ascii="Arial" w:eastAsia="Arial" w:hAnsi="Arial" w:cs="Arial"/>
          <w:sz w:val="24"/>
          <w:szCs w:val="24"/>
        </w:rPr>
        <w:t>were</w:t>
      </w:r>
      <w:r w:rsidRPr="006D0DD6">
        <w:rPr>
          <w:rFonts w:ascii="Arial" w:eastAsia="Arial" w:hAnsi="Arial" w:cs="Arial"/>
          <w:sz w:val="24"/>
          <w:szCs w:val="24"/>
        </w:rPr>
        <w:t xml:space="preserve"> affected </w:t>
      </w:r>
      <w:r w:rsidR="00F573ED">
        <w:rPr>
          <w:rFonts w:ascii="Arial" w:eastAsia="Arial" w:hAnsi="Arial" w:cs="Arial"/>
          <w:sz w:val="24"/>
          <w:szCs w:val="24"/>
        </w:rPr>
        <w:t>by the armed conflict in</w:t>
      </w:r>
      <w:r w:rsidR="00512F94" w:rsidRPr="006D0DD6">
        <w:rPr>
          <w:rFonts w:ascii="Arial" w:eastAsia="Arial" w:hAnsi="Arial" w:cs="Arial"/>
          <w:b/>
          <w:sz w:val="24"/>
          <w:szCs w:val="24"/>
        </w:rPr>
        <w:t xml:space="preserve"> </w:t>
      </w:r>
      <w:r w:rsidR="00F573ED">
        <w:rPr>
          <w:rFonts w:ascii="Arial" w:eastAsia="Arial" w:hAnsi="Arial" w:cs="Arial"/>
          <w:b/>
          <w:sz w:val="24"/>
          <w:szCs w:val="24"/>
        </w:rPr>
        <w:t xml:space="preserve">Bindoy, Negros Oriental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1723"/>
        <w:gridCol w:w="1406"/>
        <w:gridCol w:w="1410"/>
      </w:tblGrid>
      <w:tr w:rsidR="00D567C6" w:rsidRPr="00EC5F21" w14:paraId="0980C94E" w14:textId="77777777" w:rsidTr="005B6373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5B6373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02CC6D2B" w14:textId="77777777" w:rsidTr="005B6373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44091FD1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00CF5575" w:rsidR="00D567C6" w:rsidRPr="00EC5F21" w:rsidRDefault="00D567C6" w:rsidP="001E5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E5C7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411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1201B4C8" w:rsidR="00D567C6" w:rsidRPr="00EC5F21" w:rsidRDefault="001E5C7A" w:rsidP="00204C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1,094</w:t>
            </w:r>
          </w:p>
        </w:tc>
      </w:tr>
      <w:tr w:rsidR="00D567C6" w:rsidRPr="00EC5F21" w14:paraId="4B1EC497" w14:textId="77777777" w:rsidTr="005B6373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6840D035" w:rsidR="00D567C6" w:rsidRPr="00EC5F21" w:rsidRDefault="00F573ED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6FC31EB3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30C3" w14:textId="01B4DA2F" w:rsidR="00D567C6" w:rsidRPr="00EC5F21" w:rsidRDefault="001E5C7A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6358ED0A" w:rsidR="00D567C6" w:rsidRPr="00EC5F21" w:rsidRDefault="001E5C7A" w:rsidP="00204C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1,094</w:t>
            </w:r>
          </w:p>
        </w:tc>
      </w:tr>
      <w:tr w:rsidR="00F573ED" w:rsidRPr="00EC5F21" w14:paraId="09627B2C" w14:textId="77777777" w:rsidTr="00F573ED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57F1" w14:textId="1980831B" w:rsidR="00F573ED" w:rsidRDefault="00F573ED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Oriental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8B155" w14:textId="658A831B" w:rsidR="00F573ED" w:rsidRPr="00EC5F21" w:rsidRDefault="001E5C7A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80297" w14:textId="0DD480EC" w:rsidR="00F573ED" w:rsidRDefault="001E5C7A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8264F" w14:textId="2C62969B" w:rsidR="00F573ED" w:rsidRPr="00EC5F21" w:rsidRDefault="001E5C7A" w:rsidP="00204C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1,094</w:t>
            </w:r>
          </w:p>
        </w:tc>
      </w:tr>
      <w:tr w:rsidR="00D567C6" w:rsidRPr="002F3674" w14:paraId="3DCB01E0" w14:textId="77777777" w:rsidTr="005B6373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0AE79AAF" w:rsidR="00D567C6" w:rsidRPr="002F3674" w:rsidRDefault="00F573ED" w:rsidP="00F573ED">
            <w:pPr>
              <w:spacing w:after="0" w:line="240" w:lineRule="auto"/>
              <w:ind w:left="20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1132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216EE3F3" w:rsidR="00D567C6" w:rsidRPr="002F3674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5D853666" w:rsidR="00D567C6" w:rsidRPr="002F3674" w:rsidRDefault="001E5C7A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3436285A" w:rsidR="00D567C6" w:rsidRPr="002F3674" w:rsidRDefault="001E5C7A" w:rsidP="00204C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1,094</w:t>
            </w:r>
          </w:p>
        </w:tc>
      </w:tr>
    </w:tbl>
    <w:p w14:paraId="437556AB" w14:textId="1C91C4EF" w:rsidR="006D0DD6" w:rsidRDefault="001E5C7A" w:rsidP="001E5C7A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Decrease in the number of affected persons is based on the validation conducted.</w:t>
      </w:r>
    </w:p>
    <w:p w14:paraId="781989EB" w14:textId="2E5321A4" w:rsidR="004A4E86" w:rsidRPr="00EC5F21" w:rsidRDefault="0083244C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E5C7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7A50F05" w14:textId="77777777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FB1AD16" w14:textId="15551EFD" w:rsidR="006D0DD6" w:rsidRDefault="006D0DD6" w:rsidP="006D0DD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</w:t>
      </w:r>
    </w:p>
    <w:p w14:paraId="7D928ABA" w14:textId="7AF488C1" w:rsidR="006D0DD6" w:rsidRPr="003E58AC" w:rsidRDefault="003E58AC" w:rsidP="006D0DD6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58AC">
        <w:rPr>
          <w:rFonts w:ascii="Arial" w:eastAsia="Arial" w:hAnsi="Arial" w:cs="Arial"/>
          <w:sz w:val="24"/>
          <w:szCs w:val="24"/>
        </w:rPr>
        <w:t xml:space="preserve">A total of </w:t>
      </w:r>
      <w:r w:rsidRPr="00ED0883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ED0883" w:rsidRPr="00ED0883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Pr="00ED088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D08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E58AC">
        <w:rPr>
          <w:rFonts w:ascii="Arial" w:eastAsia="Arial" w:hAnsi="Arial" w:cs="Arial"/>
          <w:sz w:val="24"/>
          <w:szCs w:val="24"/>
        </w:rPr>
        <w:t xml:space="preserve">or </w:t>
      </w:r>
      <w:r w:rsidRPr="00ED088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ED0883" w:rsidRPr="00ED0883">
        <w:rPr>
          <w:rFonts w:ascii="Arial" w:eastAsia="Arial" w:hAnsi="Arial" w:cs="Arial"/>
          <w:b/>
          <w:color w:val="0070C0"/>
          <w:sz w:val="24"/>
          <w:szCs w:val="24"/>
        </w:rPr>
        <w:t>,094</w:t>
      </w:r>
      <w:r w:rsidRPr="00ED088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3E58AC">
        <w:rPr>
          <w:rFonts w:ascii="Arial" w:eastAsia="Arial" w:hAnsi="Arial" w:cs="Arial"/>
          <w:sz w:val="24"/>
          <w:szCs w:val="24"/>
        </w:rPr>
        <w:t xml:space="preserve"> </w:t>
      </w:r>
      <w:r w:rsidRPr="003E58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took temporary shelter in </w:t>
      </w:r>
      <w:r w:rsidR="00ED088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Cabcaban Elementary School, </w:t>
      </w:r>
      <w:r w:rsidR="00760A5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</w:t>
      </w:r>
      <w:r w:rsidR="00ED088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arangay gym and in a church</w:t>
      </w:r>
      <w:r w:rsidR="003A51BD" w:rsidRPr="003A51B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3E58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A51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Evacuation centers are already closed and families returned to their homes </w:t>
      </w:r>
      <w:r w:rsidRPr="003E58AC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2).</w:t>
      </w:r>
    </w:p>
    <w:p w14:paraId="61EE4B67" w14:textId="77777777" w:rsidR="003E58AC" w:rsidRPr="003E58AC" w:rsidRDefault="003E58AC" w:rsidP="006D0DD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9E0F1F6" w14:textId="092E5F25" w:rsidR="006D0DD6" w:rsidRDefault="006D0DD6" w:rsidP="006D0DD6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Number of Displaced Families / Persons Inside Evacuation Center</w:t>
      </w:r>
    </w:p>
    <w:tbl>
      <w:tblPr>
        <w:tblW w:w="4747" w:type="pct"/>
        <w:tblInd w:w="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084"/>
        <w:gridCol w:w="968"/>
        <w:gridCol w:w="1093"/>
        <w:gridCol w:w="905"/>
        <w:gridCol w:w="908"/>
        <w:gridCol w:w="892"/>
      </w:tblGrid>
      <w:tr w:rsidR="003E58AC" w:rsidRPr="003E58AC" w14:paraId="448F8CE5" w14:textId="77777777" w:rsidTr="008B6129">
        <w:trPr>
          <w:trHeight w:val="20"/>
        </w:trPr>
        <w:tc>
          <w:tcPr>
            <w:tcW w:w="18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D1A09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730E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6CB3C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E58AC" w:rsidRPr="003E58AC" w14:paraId="4AC62425" w14:textId="77777777" w:rsidTr="008B6129">
        <w:trPr>
          <w:trHeight w:val="20"/>
        </w:trPr>
        <w:tc>
          <w:tcPr>
            <w:tcW w:w="1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D0DB3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6412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CA6C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C80CD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B6129" w:rsidRPr="003E58AC" w14:paraId="01938370" w14:textId="77777777" w:rsidTr="008B6129">
        <w:trPr>
          <w:trHeight w:val="20"/>
        </w:trPr>
        <w:tc>
          <w:tcPr>
            <w:tcW w:w="1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7A08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4F8A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3114F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FC08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0B42C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CB9CC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0C1B1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B6129" w:rsidRPr="003E58AC" w14:paraId="37B7EF19" w14:textId="77777777" w:rsidTr="008B6129">
        <w:trPr>
          <w:trHeight w:val="2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614E4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C20F5" w14:textId="4120533D" w:rsidR="003E58AC" w:rsidRPr="003E58AC" w:rsidRDefault="003E58AC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ED0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E5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929D7" w14:textId="7228E9EA" w:rsidR="003E58AC" w:rsidRPr="003E58AC" w:rsidRDefault="003E58AC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E5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6DC33" w14:textId="211311EF" w:rsidR="003E58AC" w:rsidRPr="003E58AC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41C2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97B69" w14:textId="6DA6FCAC" w:rsidR="003E58AC" w:rsidRPr="003E58AC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0541F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</w:t>
            </w:r>
          </w:p>
        </w:tc>
      </w:tr>
      <w:tr w:rsidR="008B6129" w:rsidRPr="003E58AC" w14:paraId="0C88FBC2" w14:textId="77777777" w:rsidTr="008B6129">
        <w:trPr>
          <w:trHeight w:val="2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C50A6" w14:textId="5A5CC6EB" w:rsidR="003E58AC" w:rsidRPr="003E58AC" w:rsidRDefault="001E5C7A" w:rsidP="001E5C7A">
            <w:pPr>
              <w:spacing w:after="0" w:line="240" w:lineRule="auto"/>
              <w:ind w:left="55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EBD7B" w14:textId="1ABB1EDD" w:rsidR="003E58AC" w:rsidRPr="003E58AC" w:rsidRDefault="003E58AC" w:rsidP="00ED0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ED0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E5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7F4F9" w14:textId="7B788692" w:rsidR="003E58AC" w:rsidRPr="003E58AC" w:rsidRDefault="003E58AC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E5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AD68" w14:textId="4E218BC6" w:rsidR="003E58AC" w:rsidRPr="003E58AC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2240E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E0C8C" w14:textId="1DD382C3" w:rsidR="003E58AC" w:rsidRPr="003E58AC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41A12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</w:t>
            </w:r>
          </w:p>
        </w:tc>
      </w:tr>
      <w:tr w:rsidR="008B6129" w:rsidRPr="003E58AC" w14:paraId="212B30FA" w14:textId="77777777" w:rsidTr="008B6129">
        <w:trPr>
          <w:trHeight w:val="2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50CD9" w14:textId="42043E4E" w:rsidR="001E5C7A" w:rsidRDefault="001E5C7A" w:rsidP="001E5C7A">
            <w:pPr>
              <w:spacing w:after="0" w:line="240" w:lineRule="auto"/>
              <w:ind w:left="55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Oriental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AB1E8" w14:textId="564C3467" w:rsidR="001E5C7A" w:rsidRPr="003E58AC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7D949" w14:textId="44832AC9" w:rsidR="001E5C7A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7B4B7" w14:textId="770D32EA" w:rsidR="001E5C7A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C993D" w14:textId="5067294D" w:rsidR="001E5C7A" w:rsidRPr="003E58AC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7AF4" w14:textId="20A85733" w:rsidR="001E5C7A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C822F" w14:textId="75260C67" w:rsidR="001E5C7A" w:rsidRPr="003E58AC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6129" w:rsidRPr="003E58AC" w14:paraId="0A369E7B" w14:textId="77777777" w:rsidTr="008B6129">
        <w:trPr>
          <w:trHeight w:val="2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9F09D" w14:textId="0CBA574D" w:rsidR="003E58AC" w:rsidRPr="003E58AC" w:rsidRDefault="001E5C7A" w:rsidP="001E5C7A">
            <w:pPr>
              <w:spacing w:after="0" w:line="240" w:lineRule="auto"/>
              <w:ind w:left="235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0A269" w14:textId="2F054EAC" w:rsidR="003E58AC" w:rsidRPr="003E58AC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354C9" w14:textId="42C21F01" w:rsidR="003E58AC" w:rsidRPr="003E58AC" w:rsidRDefault="003E58AC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Pr="003E5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8772B" w14:textId="36F8B57F" w:rsidR="003E58AC" w:rsidRPr="003E58AC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05F6C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991EC" w14:textId="009BBEF3" w:rsidR="003E58AC" w:rsidRPr="003E58AC" w:rsidRDefault="00ED0883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FC7F4" w14:textId="77777777" w:rsidR="003E58AC" w:rsidRPr="003E58AC" w:rsidRDefault="003E58AC" w:rsidP="003E5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</w:tr>
    </w:tbl>
    <w:p w14:paraId="5F2863C6" w14:textId="4B365312" w:rsidR="003E58AC" w:rsidRDefault="003E58AC" w:rsidP="00ED088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D0883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E1DA5E3" w14:textId="77777777" w:rsidR="00ED0883" w:rsidRPr="00FE2D3D" w:rsidRDefault="00ED0883" w:rsidP="00ED088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AD7FD1F" w14:textId="77777777" w:rsidR="00FE2D3D" w:rsidRPr="00763931" w:rsidRDefault="00FE2D3D" w:rsidP="00FE2D3D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6393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8A2F75D" w14:textId="4199E221" w:rsidR="008B6129" w:rsidRPr="008B6129" w:rsidRDefault="00FE2D3D" w:rsidP="008B6129">
      <w:pPr>
        <w:spacing w:after="0" w:line="240" w:lineRule="auto"/>
        <w:ind w:left="45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</w:t>
      </w:r>
      <w:r w:rsidRPr="006D0DD6">
        <w:rPr>
          <w:rFonts w:ascii="Arial" w:eastAsia="Arial" w:hAnsi="Arial" w:cs="Arial"/>
          <w:sz w:val="24"/>
          <w:szCs w:val="24"/>
        </w:rPr>
        <w:t xml:space="preserve">of </w:t>
      </w:r>
      <w:r w:rsidRPr="00705B7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05B73" w:rsidRPr="00705B73">
        <w:rPr>
          <w:rFonts w:ascii="Arial" w:eastAsia="Arial" w:hAnsi="Arial" w:cs="Arial"/>
          <w:b/>
          <w:color w:val="0070C0"/>
          <w:sz w:val="24"/>
          <w:szCs w:val="24"/>
        </w:rPr>
        <w:t>634</w:t>
      </w:r>
      <w:r w:rsidR="00576A30" w:rsidRPr="00705B7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05B73" w:rsidRPr="00705B73">
        <w:rPr>
          <w:rFonts w:ascii="Arial" w:eastAsia="Arial" w:hAnsi="Arial" w:cs="Arial"/>
          <w:b/>
          <w:color w:val="0070C0"/>
          <w:sz w:val="24"/>
          <w:szCs w:val="24"/>
        </w:rPr>
        <w:t>637.50</w:t>
      </w:r>
      <w:r w:rsidR="00576A30" w:rsidRPr="00705B7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by the </w:t>
      </w:r>
      <w:r w:rsidR="00BC6C93">
        <w:rPr>
          <w:rFonts w:ascii="Arial" w:eastAsia="Arial" w:hAnsi="Arial" w:cs="Arial"/>
          <w:color w:val="000000" w:themeColor="text1"/>
          <w:sz w:val="24"/>
          <w:szCs w:val="24"/>
        </w:rPr>
        <w:t>DSWD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 to </w:t>
      </w:r>
      <w:r w:rsidR="00705B73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>affected families</w:t>
      </w:r>
      <w:r w:rsidRPr="007639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705B73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1EF895DC" w14:textId="77777777" w:rsidR="008B6129" w:rsidRDefault="008B6129" w:rsidP="008B61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1791417" w14:textId="77777777" w:rsidR="008B6129" w:rsidRDefault="008B6129" w:rsidP="008B61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D049A62" w14:textId="77777777" w:rsidR="008B6129" w:rsidRDefault="008B6129" w:rsidP="008B61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4A38E53" w14:textId="77777777" w:rsidR="008B6129" w:rsidRDefault="008B6129" w:rsidP="008B61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97CF22" w14:textId="77777777" w:rsidR="008B6129" w:rsidRDefault="008B6129" w:rsidP="008B61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F2220B" w14:textId="77777777" w:rsidR="008B6129" w:rsidRDefault="008B6129" w:rsidP="008B61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F10DFE8" w14:textId="77777777" w:rsidR="008B6129" w:rsidRDefault="008B6129" w:rsidP="008B61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56A8DF1" w14:textId="77777777" w:rsidR="008B6129" w:rsidRDefault="008B6129" w:rsidP="008B61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5FF8F8" w14:textId="744A1F9B" w:rsidR="00FE2D3D" w:rsidRPr="00763931" w:rsidRDefault="00FE2D3D" w:rsidP="008B6129">
      <w:pPr>
        <w:spacing w:after="0" w:line="240" w:lineRule="auto"/>
        <w:ind w:left="45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63931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705B73">
        <w:rPr>
          <w:rFonts w:ascii="Arial" w:eastAsia="Arial" w:hAnsi="Arial" w:cs="Arial"/>
          <w:b/>
          <w:i/>
          <w:sz w:val="20"/>
          <w:szCs w:val="24"/>
        </w:rPr>
        <w:t>3</w:t>
      </w:r>
      <w:r w:rsidRPr="00763931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57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2789"/>
        <w:gridCol w:w="1348"/>
        <w:gridCol w:w="1261"/>
        <w:gridCol w:w="1081"/>
        <w:gridCol w:w="1246"/>
        <w:gridCol w:w="1544"/>
      </w:tblGrid>
      <w:tr w:rsidR="00FE2D3D" w:rsidRPr="00763931" w14:paraId="5C73D5F0" w14:textId="77777777" w:rsidTr="008B6129">
        <w:trPr>
          <w:trHeight w:val="20"/>
        </w:trPr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DF4991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1602BC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FE2D3D" w:rsidRPr="00763931" w14:paraId="1D34CE36" w14:textId="77777777" w:rsidTr="008B6129">
        <w:trPr>
          <w:trHeight w:val="20"/>
        </w:trPr>
        <w:tc>
          <w:tcPr>
            <w:tcW w:w="1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4AE7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BD5D47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B05312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6FB10F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E845EB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CF2E6C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204CA0" w:rsidRPr="00763931" w14:paraId="502DE996" w14:textId="77777777" w:rsidTr="008B6129">
        <w:trPr>
          <w:trHeight w:val="20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D7B387" w14:textId="77777777" w:rsidR="00204CA0" w:rsidRPr="00763931" w:rsidRDefault="00204CA0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0F0794" w14:textId="6AE479D8" w:rsidR="00204CA0" w:rsidRPr="00763931" w:rsidRDefault="00204CA0" w:rsidP="00705B7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05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634,637.50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A281D3" w14:textId="6F65D48A" w:rsidR="00204CA0" w:rsidRPr="00763931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B32F4" w14:textId="77777777" w:rsidR="00204CA0" w:rsidRPr="00763931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BE7010" w14:textId="77777777" w:rsidR="00204CA0" w:rsidRPr="00763931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DE0336" w14:textId="7396DAE6" w:rsidR="00204CA0" w:rsidRPr="00763931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05B73"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05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634,637.50</w:t>
            </w:r>
          </w:p>
        </w:tc>
      </w:tr>
      <w:tr w:rsidR="00204CA0" w:rsidRPr="00763931" w14:paraId="500B25FB" w14:textId="77777777" w:rsidTr="008B6129">
        <w:trPr>
          <w:trHeight w:val="20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66F776" w14:textId="4BD3BC14" w:rsidR="00204CA0" w:rsidRPr="00763931" w:rsidRDefault="00ED0883" w:rsidP="00FE2D3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026C8" w14:textId="4E9D5BFA" w:rsidR="00204CA0" w:rsidRPr="00763931" w:rsidRDefault="00705B73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634,637.50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4CBA59" w14:textId="3F88A74D" w:rsidR="00204CA0" w:rsidRPr="00763931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5AD31" w14:textId="77777777" w:rsidR="00204CA0" w:rsidRPr="00763931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2207DE" w14:textId="77777777" w:rsidR="00204CA0" w:rsidRPr="00763931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4C309" w14:textId="40B214ED" w:rsidR="00204CA0" w:rsidRPr="00763931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05B73"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05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634,637.50</w:t>
            </w:r>
          </w:p>
        </w:tc>
      </w:tr>
      <w:tr w:rsidR="00ED0883" w:rsidRPr="00763931" w14:paraId="7307B492" w14:textId="77777777" w:rsidTr="008B6129">
        <w:trPr>
          <w:trHeight w:val="20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1B0D24" w14:textId="0F2F3FD7" w:rsidR="00ED0883" w:rsidRDefault="00ED0883" w:rsidP="00FE2D3D">
            <w:pPr>
              <w:widowControl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Oriental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3D647" w14:textId="0AD9A563" w:rsidR="00ED0883" w:rsidRPr="00763931" w:rsidRDefault="00705B73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634,637.50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D01E1C" w14:textId="5859074E" w:rsidR="00ED0883" w:rsidRDefault="00705B73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1FFA7B" w14:textId="6A7A0FC7" w:rsidR="00ED0883" w:rsidRPr="00763931" w:rsidRDefault="00705B73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D90026" w14:textId="67BC3A54" w:rsidR="00ED0883" w:rsidRPr="00763931" w:rsidRDefault="00705B73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E785DF" w14:textId="5AAA7FE9" w:rsidR="00ED0883" w:rsidRPr="00763931" w:rsidRDefault="00705B73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634,637.50</w:t>
            </w:r>
          </w:p>
        </w:tc>
      </w:tr>
      <w:tr w:rsidR="00204CA0" w:rsidRPr="00763931" w14:paraId="6AD2B8B7" w14:textId="77777777" w:rsidTr="008B6129">
        <w:trPr>
          <w:trHeight w:val="20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F5CF" w14:textId="5292222F" w:rsidR="00204CA0" w:rsidRPr="003E58AC" w:rsidRDefault="00ED0883" w:rsidP="00705B73">
            <w:pPr>
              <w:widowControl/>
              <w:spacing w:after="0" w:line="240" w:lineRule="auto"/>
              <w:ind w:left="139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1132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E80F" w14:textId="2657848F" w:rsidR="00204CA0" w:rsidRPr="003E58AC" w:rsidRDefault="00705B73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705B7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634,637.50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4377" w14:textId="7EF1B5FF" w:rsidR="00204CA0" w:rsidRPr="003E58AC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3E58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1908" w14:textId="77777777" w:rsidR="00204CA0" w:rsidRPr="003E58AC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3E58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F17E" w14:textId="77777777" w:rsidR="00204CA0" w:rsidRPr="003E58AC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3E58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4159" w14:textId="0CCE106E" w:rsidR="00204CA0" w:rsidRPr="003E58AC" w:rsidRDefault="00204CA0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3E58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705B73" w:rsidRPr="00705B7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634,637.50</w:t>
            </w:r>
          </w:p>
        </w:tc>
      </w:tr>
    </w:tbl>
    <w:p w14:paraId="71D52D66" w14:textId="77777777" w:rsidR="00ED0883" w:rsidRDefault="00801D83" w:rsidP="00ED088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D0883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714FB6A" w14:textId="77777777" w:rsidR="000355AB" w:rsidRDefault="000355AB" w:rsidP="00ED088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492784F" w14:textId="77777777" w:rsidR="00BE5209" w:rsidRDefault="00BE5209" w:rsidP="00ED088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A3B96CC" w:rsidR="001149A2" w:rsidRPr="00ED0883" w:rsidRDefault="001149A2" w:rsidP="00ED088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6A02329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D0883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4958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3"/>
        <w:gridCol w:w="7458"/>
      </w:tblGrid>
      <w:tr w:rsidR="001149A2" w:rsidRPr="006E2A89" w14:paraId="5E7E3044" w14:textId="77777777" w:rsidTr="005B6373">
        <w:trPr>
          <w:trHeight w:val="20"/>
        </w:trPr>
        <w:tc>
          <w:tcPr>
            <w:tcW w:w="114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5B6373">
        <w:trPr>
          <w:trHeight w:val="20"/>
        </w:trPr>
        <w:tc>
          <w:tcPr>
            <w:tcW w:w="114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309FD46" w:rsidR="00E938BC" w:rsidRPr="006E2A89" w:rsidRDefault="00D567C6" w:rsidP="00ED088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ED0883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E938BC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76A30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E938BC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2F2399" w14:textId="1BC3CF48" w:rsidR="00322C4F" w:rsidRPr="00322C4F" w:rsidRDefault="005C5F67" w:rsidP="00322C4F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bookmarkStart w:id="0" w:name="_2et92p0" w:colFirst="0" w:colLast="0"/>
            <w:bookmarkEnd w:id="0"/>
            <w:r w:rsidRPr="005C5F67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ED0883">
              <w:rPr>
                <w:rFonts w:ascii="Arial" w:hAnsi="Arial" w:cs="Arial"/>
                <w:color w:val="0070C0"/>
                <w:sz w:val="20"/>
                <w:szCs w:val="20"/>
              </w:rPr>
              <w:t>VII</w:t>
            </w:r>
            <w:r w:rsidRPr="005C5F6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22C4F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submitted their </w:t>
            </w:r>
            <w:r w:rsidR="00322C4F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terminal report.</w:t>
            </w:r>
          </w:p>
          <w:p w14:paraId="1061E0DF" w14:textId="30989931" w:rsidR="00C64083" w:rsidRPr="00C64083" w:rsidRDefault="00C64083" w:rsidP="00C6408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VII through Bindoy MAT members provided and distributed Family Food Packs (FFPs) and family kits to the affected families. </w:t>
            </w:r>
            <w:r w:rsidRPr="00C64083">
              <w:rPr>
                <w:rFonts w:ascii="Arial" w:hAnsi="Arial" w:cs="Arial"/>
                <w:color w:val="0070C0"/>
                <w:sz w:val="20"/>
                <w:szCs w:val="20"/>
              </w:rPr>
              <w:t>The LGU of Bindoy also provided sacks of rice and b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oxes of sardines.</w:t>
            </w:r>
          </w:p>
        </w:tc>
      </w:tr>
    </w:tbl>
    <w:p w14:paraId="21D0D0EF" w14:textId="77777777" w:rsidR="001E33B7" w:rsidRPr="00EC5F21" w:rsidRDefault="001E33B7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2632956F" w:rsidR="00C9090C" w:rsidRPr="00EC5F21" w:rsidRDefault="00322C4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0355A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7B91724D" w14:textId="73ECC4AC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B8DE883" w14:textId="77777777" w:rsidR="00CF3CD0" w:rsidRPr="00EC5F21" w:rsidRDefault="00CF3CD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EC5F21" w:rsidRDefault="001E33B7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35AAA5EE" w:rsidR="00C9090C" w:rsidRPr="00EC5F21" w:rsidRDefault="000355AB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ASUTIN A. ASPILLAGA</w:t>
      </w:r>
    </w:p>
    <w:p w14:paraId="57A0E179" w14:textId="05B7FB33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F6A47C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111D1D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6D6B39C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5B51CF1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0244F5F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10DB8B2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67340C2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E881FE1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73BC691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B3D7BA0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0BC5F86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A96C92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B71586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DC19285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61EADD1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1FEF8EE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DA0794F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5AA40C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540A65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B4B3C67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C5558AD" w14:textId="77777777" w:rsidR="00045190" w:rsidRDefault="0004519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p w14:paraId="505904EC" w14:textId="77777777" w:rsidR="00C64083" w:rsidRDefault="00C64083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F8449BD" w14:textId="6EBFCB87" w:rsidR="00C64083" w:rsidRDefault="00C64083" w:rsidP="00C6408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PHOTO DOCUMENTATION</w:t>
      </w:r>
    </w:p>
    <w:p w14:paraId="4EEFE9B0" w14:textId="77777777" w:rsidR="00C64083" w:rsidRDefault="00C64083" w:rsidP="00C6408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4E4E837" w14:textId="02ABD44C" w:rsidR="00C64083" w:rsidRDefault="00C64083" w:rsidP="00C6408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noProof/>
          <w:color w:val="0070C0"/>
          <w:sz w:val="16"/>
          <w:szCs w:val="24"/>
        </w:rPr>
        <w:drawing>
          <wp:inline distT="0" distB="0" distL="0" distR="0" wp14:anchorId="07DDC1FA" wp14:editId="3BE95D44">
            <wp:extent cx="6188710" cy="3006725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22E1" w14:textId="77777777" w:rsidR="00C64083" w:rsidRPr="00ED0883" w:rsidRDefault="00C64083" w:rsidP="00C6408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2D3296" w14:textId="07EC0E75" w:rsidR="00576A30" w:rsidRPr="007A081A" w:rsidRDefault="00C64083" w:rsidP="007A081A">
      <w:pPr>
        <w:rPr>
          <w:rFonts w:ascii="Arial" w:eastAsia="Arial" w:hAnsi="Arial" w:cs="Arial"/>
          <w:szCs w:val="24"/>
          <w:highlight w:val="white"/>
        </w:rPr>
      </w:pPr>
      <w:r w:rsidRPr="00C64083">
        <w:rPr>
          <w:rFonts w:ascii="Arial" w:eastAsia="Arial" w:hAnsi="Arial" w:cs="Arial"/>
          <w:szCs w:val="24"/>
          <w:highlight w:val="white"/>
        </w:rPr>
        <w:t>Distribution of relief assistance to the affected families.</w:t>
      </w:r>
    </w:p>
    <w:sectPr w:rsidR="00576A30" w:rsidRPr="007A081A" w:rsidSect="006E2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517E" w14:textId="77777777" w:rsidR="00E60EDF" w:rsidRDefault="00E60EDF">
      <w:pPr>
        <w:spacing w:after="0" w:line="240" w:lineRule="auto"/>
      </w:pPr>
      <w:r>
        <w:separator/>
      </w:r>
    </w:p>
  </w:endnote>
  <w:endnote w:type="continuationSeparator" w:id="0">
    <w:p w14:paraId="244ECADF" w14:textId="77777777" w:rsidR="00E60EDF" w:rsidRDefault="00E6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5FD5714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045190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045190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6D0DD6">
      <w:rPr>
        <w:rFonts w:ascii="Arial" w:eastAsia="Arial" w:hAnsi="Arial" w:cs="Arial"/>
        <w:sz w:val="12"/>
        <w:szCs w:val="14"/>
      </w:rPr>
      <w:t>DSWD DROMIC Terminal Report</w:t>
    </w:r>
    <w:r w:rsidR="00350210" w:rsidRPr="00350210">
      <w:rPr>
        <w:rFonts w:ascii="Arial" w:eastAsia="Arial" w:hAnsi="Arial" w:cs="Arial"/>
        <w:sz w:val="12"/>
        <w:szCs w:val="14"/>
      </w:rPr>
      <w:t xml:space="preserve"> on the </w:t>
    </w:r>
    <w:r w:rsidR="00F573ED">
      <w:rPr>
        <w:rFonts w:ascii="Arial" w:eastAsia="Arial" w:hAnsi="Arial" w:cs="Arial"/>
        <w:sz w:val="12"/>
        <w:szCs w:val="14"/>
      </w:rPr>
      <w:t>Armed Conflict in Bindoy, Negros Oriental</w:t>
    </w:r>
    <w:r w:rsidR="0036294D">
      <w:rPr>
        <w:rFonts w:ascii="Arial" w:eastAsia="Arial" w:hAnsi="Arial" w:cs="Arial"/>
        <w:sz w:val="12"/>
        <w:szCs w:val="14"/>
      </w:rPr>
      <w:t>,</w:t>
    </w:r>
    <w:r w:rsidR="006D0DD6">
      <w:rPr>
        <w:rFonts w:ascii="Arial" w:eastAsia="Arial" w:hAnsi="Arial" w:cs="Arial"/>
        <w:sz w:val="12"/>
        <w:szCs w:val="14"/>
      </w:rPr>
      <w:t xml:space="preserve"> </w:t>
    </w:r>
    <w:r w:rsidR="002D1983">
      <w:rPr>
        <w:rFonts w:ascii="Arial" w:eastAsia="Arial" w:hAnsi="Arial" w:cs="Arial"/>
        <w:sz w:val="12"/>
        <w:szCs w:val="14"/>
      </w:rPr>
      <w:t>1</w:t>
    </w:r>
    <w:r w:rsidR="00F573ED">
      <w:rPr>
        <w:rFonts w:ascii="Arial" w:eastAsia="Arial" w:hAnsi="Arial" w:cs="Arial"/>
        <w:sz w:val="12"/>
        <w:szCs w:val="14"/>
      </w:rPr>
      <w:t>9</w:t>
    </w:r>
    <w:r w:rsidR="00350210">
      <w:rPr>
        <w:rFonts w:ascii="Arial" w:eastAsia="Arial" w:hAnsi="Arial" w:cs="Arial"/>
        <w:sz w:val="12"/>
        <w:szCs w:val="14"/>
      </w:rPr>
      <w:t xml:space="preserve"> </w:t>
    </w:r>
    <w:r w:rsidR="0036294D">
      <w:rPr>
        <w:rFonts w:ascii="Arial" w:eastAsia="Arial" w:hAnsi="Arial" w:cs="Arial"/>
        <w:sz w:val="12"/>
        <w:szCs w:val="14"/>
      </w:rPr>
      <w:t xml:space="preserve">April 2019, </w:t>
    </w:r>
    <w:r w:rsidR="00F573ED">
      <w:rPr>
        <w:rFonts w:ascii="Arial" w:eastAsia="Arial" w:hAnsi="Arial" w:cs="Arial"/>
        <w:sz w:val="12"/>
        <w:szCs w:val="14"/>
      </w:rPr>
      <w:t>3</w:t>
    </w:r>
    <w:r w:rsidR="006D0DD6">
      <w:rPr>
        <w:rFonts w:ascii="Arial" w:eastAsia="Arial" w:hAnsi="Arial" w:cs="Arial"/>
        <w:sz w:val="12"/>
        <w:szCs w:val="14"/>
      </w:rPr>
      <w:t>P</w:t>
    </w:r>
    <w:r w:rsidR="00350210">
      <w:rPr>
        <w:rFonts w:ascii="Arial" w:eastAsia="Arial" w:hAnsi="Arial" w:cs="Arial"/>
        <w:sz w:val="12"/>
        <w:szCs w:val="14"/>
      </w:rPr>
      <w:t>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659FF" w14:textId="77777777" w:rsidR="00E60EDF" w:rsidRDefault="00E60EDF">
      <w:pPr>
        <w:spacing w:after="0" w:line="240" w:lineRule="auto"/>
      </w:pPr>
      <w:r>
        <w:separator/>
      </w:r>
    </w:p>
  </w:footnote>
  <w:footnote w:type="continuationSeparator" w:id="0">
    <w:p w14:paraId="3E9C18B3" w14:textId="77777777" w:rsidR="00E60EDF" w:rsidRDefault="00E6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4847"/>
    <w:rsid w:val="000355AB"/>
    <w:rsid w:val="00042FEB"/>
    <w:rsid w:val="00045190"/>
    <w:rsid w:val="00046FA7"/>
    <w:rsid w:val="00050766"/>
    <w:rsid w:val="00056D8A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55481"/>
    <w:rsid w:val="001847A6"/>
    <w:rsid w:val="00186433"/>
    <w:rsid w:val="001B2088"/>
    <w:rsid w:val="001B6619"/>
    <w:rsid w:val="001B76F6"/>
    <w:rsid w:val="001D4CBB"/>
    <w:rsid w:val="001E0735"/>
    <w:rsid w:val="001E33B7"/>
    <w:rsid w:val="001E5944"/>
    <w:rsid w:val="001E5C7A"/>
    <w:rsid w:val="001F0486"/>
    <w:rsid w:val="001F5868"/>
    <w:rsid w:val="00204CA0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7968"/>
    <w:rsid w:val="002D1983"/>
    <w:rsid w:val="002D320D"/>
    <w:rsid w:val="002D6344"/>
    <w:rsid w:val="002E3C58"/>
    <w:rsid w:val="002F3674"/>
    <w:rsid w:val="002F57CF"/>
    <w:rsid w:val="002F6A3E"/>
    <w:rsid w:val="00303C07"/>
    <w:rsid w:val="003118BD"/>
    <w:rsid w:val="003169F2"/>
    <w:rsid w:val="0031795A"/>
    <w:rsid w:val="00322C4F"/>
    <w:rsid w:val="0033511E"/>
    <w:rsid w:val="00350210"/>
    <w:rsid w:val="00352A0E"/>
    <w:rsid w:val="0036294D"/>
    <w:rsid w:val="00371C7A"/>
    <w:rsid w:val="00386942"/>
    <w:rsid w:val="0039157E"/>
    <w:rsid w:val="0039545E"/>
    <w:rsid w:val="003A51BD"/>
    <w:rsid w:val="003C3015"/>
    <w:rsid w:val="003D719C"/>
    <w:rsid w:val="003E58A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C5747"/>
    <w:rsid w:val="004E49A2"/>
    <w:rsid w:val="004F5AA7"/>
    <w:rsid w:val="0050663A"/>
    <w:rsid w:val="00512F94"/>
    <w:rsid w:val="005227F3"/>
    <w:rsid w:val="0052595A"/>
    <w:rsid w:val="00556348"/>
    <w:rsid w:val="005663F0"/>
    <w:rsid w:val="00576A30"/>
    <w:rsid w:val="0058197B"/>
    <w:rsid w:val="005838F4"/>
    <w:rsid w:val="00590685"/>
    <w:rsid w:val="00590B6B"/>
    <w:rsid w:val="005A2C12"/>
    <w:rsid w:val="005B6373"/>
    <w:rsid w:val="005B7B3E"/>
    <w:rsid w:val="005C5F67"/>
    <w:rsid w:val="0061793C"/>
    <w:rsid w:val="00635DDB"/>
    <w:rsid w:val="00642CB1"/>
    <w:rsid w:val="00643909"/>
    <w:rsid w:val="00651970"/>
    <w:rsid w:val="00651F59"/>
    <w:rsid w:val="00672917"/>
    <w:rsid w:val="0069788A"/>
    <w:rsid w:val="006A6903"/>
    <w:rsid w:val="006B6C95"/>
    <w:rsid w:val="006C7E5F"/>
    <w:rsid w:val="006D0DD6"/>
    <w:rsid w:val="006D729D"/>
    <w:rsid w:val="006E2A89"/>
    <w:rsid w:val="006F0656"/>
    <w:rsid w:val="006F50EF"/>
    <w:rsid w:val="006F7673"/>
    <w:rsid w:val="00705B73"/>
    <w:rsid w:val="00721CF9"/>
    <w:rsid w:val="007313BB"/>
    <w:rsid w:val="0073140C"/>
    <w:rsid w:val="00735A53"/>
    <w:rsid w:val="0073758B"/>
    <w:rsid w:val="0074694B"/>
    <w:rsid w:val="007529C5"/>
    <w:rsid w:val="00760A5D"/>
    <w:rsid w:val="007676C2"/>
    <w:rsid w:val="00773B3E"/>
    <w:rsid w:val="007A081A"/>
    <w:rsid w:val="007B50B5"/>
    <w:rsid w:val="007B7DAC"/>
    <w:rsid w:val="007D6598"/>
    <w:rsid w:val="007D6982"/>
    <w:rsid w:val="007E75A9"/>
    <w:rsid w:val="00801D83"/>
    <w:rsid w:val="00806045"/>
    <w:rsid w:val="00807A40"/>
    <w:rsid w:val="0081334A"/>
    <w:rsid w:val="0082006A"/>
    <w:rsid w:val="00822EC2"/>
    <w:rsid w:val="0082655B"/>
    <w:rsid w:val="008268F2"/>
    <w:rsid w:val="0083244C"/>
    <w:rsid w:val="00842643"/>
    <w:rsid w:val="008524BB"/>
    <w:rsid w:val="008555B6"/>
    <w:rsid w:val="00860FB3"/>
    <w:rsid w:val="00871F0E"/>
    <w:rsid w:val="008804F8"/>
    <w:rsid w:val="008A0185"/>
    <w:rsid w:val="008B1217"/>
    <w:rsid w:val="008B25D9"/>
    <w:rsid w:val="008B44E3"/>
    <w:rsid w:val="008B6129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1063"/>
    <w:rsid w:val="00970CF8"/>
    <w:rsid w:val="009731CF"/>
    <w:rsid w:val="00973299"/>
    <w:rsid w:val="0097590D"/>
    <w:rsid w:val="00980023"/>
    <w:rsid w:val="009808ED"/>
    <w:rsid w:val="00982647"/>
    <w:rsid w:val="00985089"/>
    <w:rsid w:val="009974F8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71436"/>
    <w:rsid w:val="00A820CC"/>
    <w:rsid w:val="00A8218F"/>
    <w:rsid w:val="00A855F6"/>
    <w:rsid w:val="00A90F74"/>
    <w:rsid w:val="00A9177A"/>
    <w:rsid w:val="00A94D07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4F0C"/>
    <w:rsid w:val="00B865A2"/>
    <w:rsid w:val="00B86763"/>
    <w:rsid w:val="00BB2F4A"/>
    <w:rsid w:val="00BB6269"/>
    <w:rsid w:val="00BB73AD"/>
    <w:rsid w:val="00BC483F"/>
    <w:rsid w:val="00BC57D7"/>
    <w:rsid w:val="00BC6C93"/>
    <w:rsid w:val="00BE5209"/>
    <w:rsid w:val="00BE6D8F"/>
    <w:rsid w:val="00BE6FC4"/>
    <w:rsid w:val="00C018FB"/>
    <w:rsid w:val="00C039EE"/>
    <w:rsid w:val="00C16E9F"/>
    <w:rsid w:val="00C34723"/>
    <w:rsid w:val="00C40E75"/>
    <w:rsid w:val="00C52E1F"/>
    <w:rsid w:val="00C60910"/>
    <w:rsid w:val="00C6154C"/>
    <w:rsid w:val="00C61BA3"/>
    <w:rsid w:val="00C64083"/>
    <w:rsid w:val="00C71876"/>
    <w:rsid w:val="00C75081"/>
    <w:rsid w:val="00C9090C"/>
    <w:rsid w:val="00C94159"/>
    <w:rsid w:val="00C97C05"/>
    <w:rsid w:val="00CB0E38"/>
    <w:rsid w:val="00CB57AA"/>
    <w:rsid w:val="00CC4362"/>
    <w:rsid w:val="00CD15AF"/>
    <w:rsid w:val="00CD315D"/>
    <w:rsid w:val="00CF3CD0"/>
    <w:rsid w:val="00D0357D"/>
    <w:rsid w:val="00D05A14"/>
    <w:rsid w:val="00D10EA4"/>
    <w:rsid w:val="00D336FF"/>
    <w:rsid w:val="00D343DF"/>
    <w:rsid w:val="00D567C6"/>
    <w:rsid w:val="00D61622"/>
    <w:rsid w:val="00D7664A"/>
    <w:rsid w:val="00D852D5"/>
    <w:rsid w:val="00D87D8F"/>
    <w:rsid w:val="00D90FE9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3E9E"/>
    <w:rsid w:val="00E236E0"/>
    <w:rsid w:val="00E31DD3"/>
    <w:rsid w:val="00E32112"/>
    <w:rsid w:val="00E3253B"/>
    <w:rsid w:val="00E35FA4"/>
    <w:rsid w:val="00E418EA"/>
    <w:rsid w:val="00E44B37"/>
    <w:rsid w:val="00E476B6"/>
    <w:rsid w:val="00E47F12"/>
    <w:rsid w:val="00E56227"/>
    <w:rsid w:val="00E56999"/>
    <w:rsid w:val="00E60EDF"/>
    <w:rsid w:val="00E73E7B"/>
    <w:rsid w:val="00E755D3"/>
    <w:rsid w:val="00E8312E"/>
    <w:rsid w:val="00E938BC"/>
    <w:rsid w:val="00E97EC4"/>
    <w:rsid w:val="00EC1834"/>
    <w:rsid w:val="00EC5F21"/>
    <w:rsid w:val="00ED0883"/>
    <w:rsid w:val="00ED5D30"/>
    <w:rsid w:val="00EE646E"/>
    <w:rsid w:val="00EF0E3A"/>
    <w:rsid w:val="00EF2BE1"/>
    <w:rsid w:val="00EF34B8"/>
    <w:rsid w:val="00F268E5"/>
    <w:rsid w:val="00F32EB1"/>
    <w:rsid w:val="00F460E8"/>
    <w:rsid w:val="00F55BF9"/>
    <w:rsid w:val="00F573ED"/>
    <w:rsid w:val="00F63AF5"/>
    <w:rsid w:val="00F65096"/>
    <w:rsid w:val="00F75D3D"/>
    <w:rsid w:val="00FA665B"/>
    <w:rsid w:val="00FC3E81"/>
    <w:rsid w:val="00FC7CDE"/>
    <w:rsid w:val="00FD0974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1A037190-25E5-4083-AAAF-51B341E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E2D3D"/>
  </w:style>
  <w:style w:type="paragraph" w:styleId="NoSpacing">
    <w:name w:val="No Spacing"/>
    <w:basedOn w:val="Normal"/>
    <w:uiPriority w:val="99"/>
    <w:qFormat/>
    <w:rsid w:val="00576A30"/>
    <w:pPr>
      <w:widowControl/>
      <w:suppressAutoHyphens/>
      <w:spacing w:before="100" w:beforeAutospacing="1"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Ma. Consuelo J. del Prado</cp:lastModifiedBy>
  <cp:revision>23</cp:revision>
  <dcterms:created xsi:type="dcterms:W3CDTF">2019-04-19T06:35:00Z</dcterms:created>
  <dcterms:modified xsi:type="dcterms:W3CDTF">2019-04-19T07:14:00Z</dcterms:modified>
</cp:coreProperties>
</file>