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B3CFCB" w14:textId="21DB2B93" w:rsidR="001E6399" w:rsidRPr="00A641CD" w:rsidRDefault="001E6399" w:rsidP="00A6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641CD">
        <w:rPr>
          <w:rFonts w:ascii="Arial" w:eastAsia="Arial" w:hAnsi="Arial" w:cs="Arial"/>
          <w:b/>
          <w:sz w:val="32"/>
          <w:szCs w:val="32"/>
        </w:rPr>
        <w:t>D</w:t>
      </w:r>
      <w:r w:rsidR="001149A2" w:rsidRPr="00A641C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74660" w:rsidRPr="00A641CD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A641CD">
        <w:rPr>
          <w:rFonts w:ascii="Arial" w:eastAsia="Arial" w:hAnsi="Arial" w:cs="Arial"/>
          <w:b/>
          <w:sz w:val="32"/>
          <w:szCs w:val="32"/>
        </w:rPr>
        <w:t>Report</w:t>
      </w:r>
      <w:r w:rsidR="001E5944" w:rsidRPr="00A641C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A641C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A641C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A641CD">
        <w:rPr>
          <w:rFonts w:ascii="Arial" w:eastAsia="Arial" w:hAnsi="Arial" w:cs="Arial"/>
          <w:b/>
          <w:sz w:val="32"/>
          <w:szCs w:val="32"/>
        </w:rPr>
        <w:t>Fire Incident</w:t>
      </w:r>
    </w:p>
    <w:p w14:paraId="0173C660" w14:textId="33D32765" w:rsidR="003D75C9" w:rsidRPr="00A641CD" w:rsidRDefault="00F2441C" w:rsidP="00A6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641CD">
        <w:rPr>
          <w:rFonts w:ascii="Arial" w:eastAsia="Arial" w:hAnsi="Arial" w:cs="Arial"/>
          <w:b/>
          <w:sz w:val="32"/>
          <w:szCs w:val="32"/>
        </w:rPr>
        <w:t xml:space="preserve">in </w:t>
      </w:r>
      <w:r w:rsidR="001E6399" w:rsidRPr="00A641CD">
        <w:rPr>
          <w:rFonts w:ascii="Arial" w:hAnsi="Arial" w:cs="Arial"/>
          <w:b/>
          <w:sz w:val="32"/>
          <w:szCs w:val="32"/>
        </w:rPr>
        <w:t>Purok 1</w:t>
      </w:r>
      <w:r w:rsidR="00242283">
        <w:rPr>
          <w:rFonts w:ascii="Arial" w:hAnsi="Arial" w:cs="Arial"/>
          <w:b/>
          <w:sz w:val="32"/>
          <w:szCs w:val="32"/>
        </w:rPr>
        <w:t xml:space="preserve"> </w:t>
      </w:r>
      <w:r w:rsidR="001E6399" w:rsidRPr="00A641CD">
        <w:rPr>
          <w:rFonts w:ascii="Arial" w:hAnsi="Arial" w:cs="Arial"/>
          <w:b/>
          <w:sz w:val="32"/>
          <w:szCs w:val="32"/>
        </w:rPr>
        <w:t>&amp;</w:t>
      </w:r>
      <w:r w:rsidR="00242283">
        <w:rPr>
          <w:rFonts w:ascii="Arial" w:hAnsi="Arial" w:cs="Arial"/>
          <w:b/>
          <w:sz w:val="32"/>
          <w:szCs w:val="32"/>
        </w:rPr>
        <w:t xml:space="preserve"> </w:t>
      </w:r>
      <w:r w:rsidR="001E6399" w:rsidRPr="00A641CD">
        <w:rPr>
          <w:rFonts w:ascii="Arial" w:hAnsi="Arial" w:cs="Arial"/>
          <w:b/>
          <w:sz w:val="32"/>
          <w:szCs w:val="32"/>
        </w:rPr>
        <w:t xml:space="preserve">2, Mabini Boulevard, </w:t>
      </w:r>
      <w:proofErr w:type="spellStart"/>
      <w:r w:rsidR="001E6399" w:rsidRPr="00A641CD">
        <w:rPr>
          <w:rFonts w:ascii="Arial" w:hAnsi="Arial" w:cs="Arial"/>
          <w:b/>
          <w:sz w:val="32"/>
          <w:szCs w:val="32"/>
        </w:rPr>
        <w:t>Brgy</w:t>
      </w:r>
      <w:proofErr w:type="spellEnd"/>
      <w:r w:rsidR="001E6399" w:rsidRPr="00A641CD">
        <w:rPr>
          <w:rFonts w:ascii="Arial" w:hAnsi="Arial" w:cs="Arial"/>
          <w:b/>
          <w:sz w:val="32"/>
          <w:szCs w:val="32"/>
        </w:rPr>
        <w:t>. 37-D, Davao City</w:t>
      </w:r>
    </w:p>
    <w:p w14:paraId="1808A9E3" w14:textId="2F1386C5" w:rsidR="001149A2" w:rsidRPr="00A641CD" w:rsidRDefault="00E74660" w:rsidP="00A6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641CD">
        <w:rPr>
          <w:rFonts w:ascii="Arial" w:eastAsia="Arial" w:hAnsi="Arial" w:cs="Arial"/>
          <w:sz w:val="24"/>
          <w:szCs w:val="24"/>
        </w:rPr>
        <w:t>23 July 2020, 6PM</w:t>
      </w:r>
    </w:p>
    <w:p w14:paraId="1F6A2303" w14:textId="77777777" w:rsidR="001149A2" w:rsidRPr="00A641CD" w:rsidRDefault="001149A2" w:rsidP="00A6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8A2A7B" w14:textId="470F59B6" w:rsidR="001E6399" w:rsidRPr="00A641CD" w:rsidRDefault="001E6399" w:rsidP="00A94C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41CD">
        <w:rPr>
          <w:rFonts w:ascii="Arial" w:hAnsi="Arial" w:cs="Arial"/>
          <w:sz w:val="24"/>
          <w:szCs w:val="24"/>
        </w:rPr>
        <w:t xml:space="preserve">On </w:t>
      </w:r>
      <w:r w:rsidR="00A94CE0" w:rsidRPr="00A641CD">
        <w:rPr>
          <w:rFonts w:ascii="Arial" w:hAnsi="Arial" w:cs="Arial"/>
          <w:sz w:val="24"/>
          <w:szCs w:val="24"/>
        </w:rPr>
        <w:t>25</w:t>
      </w:r>
      <w:r w:rsidR="00A94CE0">
        <w:rPr>
          <w:rFonts w:ascii="Arial" w:hAnsi="Arial" w:cs="Arial"/>
          <w:sz w:val="24"/>
          <w:szCs w:val="24"/>
        </w:rPr>
        <w:t xml:space="preserve"> </w:t>
      </w:r>
      <w:r w:rsidRPr="00A641CD">
        <w:rPr>
          <w:rFonts w:ascii="Arial" w:hAnsi="Arial" w:cs="Arial"/>
          <w:sz w:val="24"/>
          <w:szCs w:val="24"/>
        </w:rPr>
        <w:t xml:space="preserve">March 2019 at around 1:20 PM, a </w:t>
      </w:r>
      <w:r w:rsidR="00A94CE0" w:rsidRPr="00A641CD">
        <w:rPr>
          <w:rFonts w:ascii="Arial" w:hAnsi="Arial" w:cs="Arial"/>
          <w:sz w:val="24"/>
          <w:szCs w:val="24"/>
        </w:rPr>
        <w:t xml:space="preserve">fire incident </w:t>
      </w:r>
      <w:r w:rsidRPr="00A641CD">
        <w:rPr>
          <w:rFonts w:ascii="Arial" w:hAnsi="Arial" w:cs="Arial"/>
          <w:sz w:val="24"/>
          <w:szCs w:val="24"/>
        </w:rPr>
        <w:t>occurred in Purok 1</w:t>
      </w:r>
      <w:r w:rsidR="00141BDA" w:rsidRPr="00A641CD">
        <w:rPr>
          <w:rFonts w:ascii="Arial" w:hAnsi="Arial" w:cs="Arial"/>
          <w:sz w:val="24"/>
          <w:szCs w:val="24"/>
        </w:rPr>
        <w:t xml:space="preserve"> and </w:t>
      </w:r>
      <w:r w:rsidRPr="00A641CD">
        <w:rPr>
          <w:rFonts w:ascii="Arial" w:hAnsi="Arial" w:cs="Arial"/>
          <w:sz w:val="24"/>
          <w:szCs w:val="24"/>
        </w:rPr>
        <w:t xml:space="preserve">2, Mabini Boulevard, </w:t>
      </w:r>
      <w:proofErr w:type="spellStart"/>
      <w:r w:rsidRPr="00A641CD">
        <w:rPr>
          <w:rFonts w:ascii="Arial" w:hAnsi="Arial" w:cs="Arial"/>
          <w:sz w:val="24"/>
          <w:szCs w:val="24"/>
        </w:rPr>
        <w:t>Brgy</w:t>
      </w:r>
      <w:proofErr w:type="spellEnd"/>
      <w:r w:rsidRPr="00A641CD">
        <w:rPr>
          <w:rFonts w:ascii="Arial" w:hAnsi="Arial" w:cs="Arial"/>
          <w:sz w:val="24"/>
          <w:szCs w:val="24"/>
        </w:rPr>
        <w:t xml:space="preserve">. 37-D, Davao City. It was already around 3:30 PM when the fire was declared out. Accordingly, the cause of the incident was </w:t>
      </w:r>
      <w:r w:rsidR="00E53D08">
        <w:rPr>
          <w:rFonts w:ascii="Arial" w:hAnsi="Arial" w:cs="Arial"/>
          <w:sz w:val="24"/>
          <w:szCs w:val="24"/>
        </w:rPr>
        <w:t xml:space="preserve">due to </w:t>
      </w:r>
      <w:r w:rsidRPr="00A641CD">
        <w:rPr>
          <w:rFonts w:ascii="Arial" w:hAnsi="Arial" w:cs="Arial"/>
          <w:sz w:val="24"/>
          <w:szCs w:val="24"/>
        </w:rPr>
        <w:t xml:space="preserve">an unattended butane.  </w:t>
      </w:r>
    </w:p>
    <w:p w14:paraId="0899B43E" w14:textId="430485E4" w:rsidR="001149A2" w:rsidRPr="00AF338D" w:rsidRDefault="001149A2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F338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AF338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E6399" w:rsidRPr="00AF338D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6C5E418" w14:textId="77777777" w:rsidR="003D7664" w:rsidRDefault="003D7664" w:rsidP="00A641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F0C3D5" w14:textId="1F0E6859" w:rsidR="001E6399" w:rsidRPr="003D7664" w:rsidRDefault="00E74660" w:rsidP="00A641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D766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895B431" w14:textId="77777777" w:rsidR="001E6399" w:rsidRPr="00A641CD" w:rsidRDefault="001E6399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2EB8A2" w14:textId="77777777" w:rsidR="001E6399" w:rsidRPr="00A641CD" w:rsidRDefault="001E6399" w:rsidP="00A641C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1C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4B407A8" w:rsidR="001E6399" w:rsidRPr="00A641CD" w:rsidRDefault="001E6399" w:rsidP="00A641C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641CD">
        <w:rPr>
          <w:rFonts w:ascii="Arial" w:eastAsia="Arial" w:hAnsi="Arial" w:cs="Arial"/>
          <w:sz w:val="24"/>
          <w:szCs w:val="24"/>
        </w:rPr>
        <w:t xml:space="preserve">A total of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 xml:space="preserve">92 </w:t>
      </w:r>
      <w:r w:rsidRPr="00A641CD">
        <w:rPr>
          <w:rFonts w:ascii="Arial" w:eastAsia="Arial" w:hAnsi="Arial" w:cs="Arial"/>
          <w:b/>
          <w:sz w:val="24"/>
          <w:szCs w:val="24"/>
        </w:rPr>
        <w:t>families</w:t>
      </w:r>
      <w:r w:rsidRPr="00A641CD">
        <w:rPr>
          <w:rFonts w:ascii="Arial" w:eastAsia="Arial" w:hAnsi="Arial" w:cs="Arial"/>
          <w:sz w:val="24"/>
          <w:szCs w:val="24"/>
        </w:rPr>
        <w:t xml:space="preserve"> or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 xml:space="preserve">318 </w:t>
      </w:r>
      <w:r w:rsidRPr="00A641CD">
        <w:rPr>
          <w:rFonts w:ascii="Arial" w:eastAsia="Arial" w:hAnsi="Arial" w:cs="Arial"/>
          <w:b/>
          <w:sz w:val="24"/>
          <w:szCs w:val="24"/>
        </w:rPr>
        <w:t>persons</w:t>
      </w:r>
      <w:r w:rsidRPr="00A641CD">
        <w:rPr>
          <w:rFonts w:ascii="Arial" w:eastAsia="Arial" w:hAnsi="Arial" w:cs="Arial"/>
          <w:sz w:val="24"/>
          <w:szCs w:val="24"/>
        </w:rPr>
        <w:t xml:space="preserve"> were affected in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Purok 1</w:t>
      </w:r>
      <w:r w:rsidR="007306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641CD">
        <w:rPr>
          <w:rFonts w:ascii="Arial" w:eastAsia="Arial" w:hAnsi="Arial" w:cs="Arial"/>
          <w:b/>
          <w:sz w:val="24"/>
          <w:szCs w:val="24"/>
        </w:rPr>
        <w:t>&amp;</w:t>
      </w:r>
      <w:r w:rsidR="007306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2, Mabini Boulevard, </w:t>
      </w:r>
      <w:proofErr w:type="spellStart"/>
      <w:r w:rsidRPr="00A641C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A641CD">
        <w:rPr>
          <w:rFonts w:ascii="Arial" w:eastAsia="Arial" w:hAnsi="Arial" w:cs="Arial"/>
          <w:b/>
          <w:sz w:val="24"/>
          <w:szCs w:val="24"/>
        </w:rPr>
        <w:t>. 37-D, Davao City</w:t>
      </w:r>
      <w:r w:rsidRPr="00A641CD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14B70953" w14:textId="77777777" w:rsidR="001E6399" w:rsidRPr="00A641CD" w:rsidRDefault="001E6399" w:rsidP="00A641C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B25C19" w:rsidRDefault="001E6399" w:rsidP="00A641C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25C1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2" w:type="pct"/>
        <w:tblInd w:w="445" w:type="dxa"/>
        <w:tblLook w:val="04A0" w:firstRow="1" w:lastRow="0" w:firstColumn="1" w:lastColumn="0" w:noHBand="0" w:noVBand="1"/>
      </w:tblPr>
      <w:tblGrid>
        <w:gridCol w:w="340"/>
        <w:gridCol w:w="4340"/>
        <w:gridCol w:w="1757"/>
        <w:gridCol w:w="1442"/>
        <w:gridCol w:w="1439"/>
      </w:tblGrid>
      <w:tr w:rsidR="00E74660" w:rsidRPr="00B25C19" w14:paraId="7194EEA2" w14:textId="77777777" w:rsidTr="00F53FDB">
        <w:trPr>
          <w:trHeight w:val="47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BECDDD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EC5C11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4660" w:rsidRPr="00B25C19" w14:paraId="0E15B7C0" w14:textId="77777777" w:rsidTr="00F53FDB">
        <w:trPr>
          <w:trHeight w:val="47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92DD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55D5D8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F983BA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3F629F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4660" w:rsidRPr="00B25C19" w14:paraId="68B53B19" w14:textId="77777777" w:rsidTr="00F53FDB">
        <w:trPr>
          <w:trHeight w:val="255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A9968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C1BB3" w14:textId="52839F15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0F71AC" w14:textId="2DF21E23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8D6E8" w14:textId="16349B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</w:tr>
      <w:tr w:rsidR="00E74660" w:rsidRPr="00B25C19" w14:paraId="40B148F8" w14:textId="77777777" w:rsidTr="00F53FDB">
        <w:trPr>
          <w:trHeight w:val="255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92AB1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77E65" w14:textId="7B06B99F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18EE71" w14:textId="7F8D03CA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0215F" w14:textId="03473390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</w:tr>
      <w:tr w:rsidR="00E74660" w:rsidRPr="00B25C19" w14:paraId="215955AD" w14:textId="77777777" w:rsidTr="00F53FDB">
        <w:trPr>
          <w:trHeight w:val="255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92629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9EB74" w14:textId="1D6810A8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AA506" w14:textId="523372B1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98F88" w14:textId="7CB9ED21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</w:tr>
      <w:tr w:rsidR="00E74660" w:rsidRPr="00B25C19" w14:paraId="2D51B39C" w14:textId="77777777" w:rsidTr="00F53FD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8E0F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C8D7" w14:textId="77777777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AF75" w14:textId="56833749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DCB2" w14:textId="2483F615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4D30" w14:textId="5B5703E6" w:rsidR="00E74660" w:rsidRPr="00B25C19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5C1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318 </w:t>
            </w:r>
          </w:p>
        </w:tc>
      </w:tr>
    </w:tbl>
    <w:p w14:paraId="4FC664A2" w14:textId="77777777" w:rsidR="001E6399" w:rsidRPr="00B25C19" w:rsidRDefault="001E6399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25C19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XI</w:t>
      </w:r>
    </w:p>
    <w:p w14:paraId="090F83C1" w14:textId="77777777" w:rsidR="001E6399" w:rsidRPr="00A641CD" w:rsidRDefault="001E6399" w:rsidP="00A641CD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A641CD" w:rsidRDefault="001E6399" w:rsidP="00A641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641C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4AB6DA3A" w:rsidR="001E6399" w:rsidRPr="00A641CD" w:rsidRDefault="00E74660" w:rsidP="00A641C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641CD">
        <w:rPr>
          <w:rFonts w:ascii="Arial" w:eastAsia="Arial" w:hAnsi="Arial" w:cs="Arial"/>
          <w:b/>
          <w:sz w:val="24"/>
          <w:szCs w:val="24"/>
        </w:rPr>
        <w:t>13</w:t>
      </w:r>
      <w:r w:rsidR="001E6399" w:rsidRPr="00A641C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A641CD">
        <w:rPr>
          <w:rFonts w:ascii="Arial" w:eastAsia="Arial" w:hAnsi="Arial" w:cs="Arial"/>
          <w:sz w:val="24"/>
          <w:szCs w:val="24"/>
        </w:rPr>
        <w:t xml:space="preserve"> or 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66 </w:t>
      </w:r>
      <w:r w:rsidR="001E6399" w:rsidRPr="00A641CD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A641CD">
        <w:rPr>
          <w:rFonts w:ascii="Arial" w:eastAsia="Arial" w:hAnsi="Arial" w:cs="Arial"/>
          <w:sz w:val="24"/>
          <w:szCs w:val="24"/>
        </w:rPr>
        <w:t>took temporary shelter at</w:t>
      </w:r>
      <w:r w:rsidR="001E6399"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690C32" w:rsidRPr="00690C32">
        <w:rPr>
          <w:rFonts w:ascii="Arial" w:eastAsia="Arial" w:hAnsi="Arial" w:cs="Arial"/>
          <w:bCs/>
          <w:sz w:val="24"/>
          <w:szCs w:val="24"/>
        </w:rPr>
        <w:t>the</w:t>
      </w:r>
      <w:r w:rsidR="00690C32">
        <w:rPr>
          <w:rFonts w:ascii="Arial" w:eastAsia="Arial" w:hAnsi="Arial" w:cs="Arial"/>
          <w:b/>
          <w:sz w:val="24"/>
          <w:szCs w:val="24"/>
        </w:rPr>
        <w:t xml:space="preserve"> Barangay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37-D Hall</w:t>
      </w:r>
      <w:r w:rsidR="001E6399"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641CD">
        <w:rPr>
          <w:rFonts w:ascii="Arial" w:eastAsia="Arial" w:hAnsi="Arial" w:cs="Arial"/>
          <w:sz w:val="24"/>
          <w:szCs w:val="24"/>
        </w:rPr>
        <w:t>(see Table 2).</w:t>
      </w:r>
      <w:r w:rsidRPr="00A641CD">
        <w:rPr>
          <w:rFonts w:ascii="Arial" w:eastAsia="Arial" w:hAnsi="Arial" w:cs="Arial"/>
          <w:sz w:val="24"/>
          <w:szCs w:val="24"/>
        </w:rPr>
        <w:t xml:space="preserve"> These families have already returned home.</w:t>
      </w:r>
    </w:p>
    <w:p w14:paraId="2772C3D1" w14:textId="77777777" w:rsidR="001E6399" w:rsidRPr="00A641CD" w:rsidRDefault="001E6399" w:rsidP="00A641CD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582870" w:rsidRDefault="001E6399" w:rsidP="00A641CD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82870"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  <w:r w:rsidRPr="0058287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98" w:type="pct"/>
        <w:tblInd w:w="445" w:type="dxa"/>
        <w:tblLook w:val="04A0" w:firstRow="1" w:lastRow="0" w:firstColumn="1" w:lastColumn="0" w:noHBand="0" w:noVBand="1"/>
      </w:tblPr>
      <w:tblGrid>
        <w:gridCol w:w="337"/>
        <w:gridCol w:w="3532"/>
        <w:gridCol w:w="924"/>
        <w:gridCol w:w="1036"/>
        <w:gridCol w:w="879"/>
        <w:gridCol w:w="883"/>
        <w:gridCol w:w="879"/>
        <w:gridCol w:w="879"/>
      </w:tblGrid>
      <w:tr w:rsidR="00E74660" w:rsidRPr="00582870" w14:paraId="1559BF1D" w14:textId="77777777" w:rsidTr="00F53FDB">
        <w:trPr>
          <w:trHeight w:val="47"/>
        </w:trPr>
        <w:tc>
          <w:tcPr>
            <w:tcW w:w="2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46F497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2232ED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08816B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74660" w:rsidRPr="00582870" w14:paraId="1F0547F4" w14:textId="77777777" w:rsidTr="00F53FDB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6BFE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F339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38A699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5C3411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4660" w:rsidRPr="00582870" w14:paraId="2F223A98" w14:textId="77777777" w:rsidTr="00F53FDB">
        <w:trPr>
          <w:trHeight w:val="20"/>
        </w:trPr>
        <w:tc>
          <w:tcPr>
            <w:tcW w:w="2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29A5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9855CB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FFEB9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BDEF7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588D1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FE80A8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9A98DB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74660" w:rsidRPr="00582870" w14:paraId="2EDC6917" w14:textId="77777777" w:rsidTr="00F53FD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F64294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4FAB6" w14:textId="3879FAAD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2F4E1" w14:textId="02F87AE8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A930A3" w14:textId="6E2395E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B88F8" w14:textId="4510423A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2954B" w14:textId="31EE1FF2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63A30" w14:textId="7FE7D7EC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660" w:rsidRPr="00582870" w14:paraId="3AC46B6C" w14:textId="77777777" w:rsidTr="00F53FD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8552C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84D34" w14:textId="0A80CFD8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6A405" w14:textId="44853AB9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EF55BD" w14:textId="16F88149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932AB" w14:textId="59F998DF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9791A" w14:textId="7B8FC29E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7B003" w14:textId="4500DC94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660" w:rsidRPr="00582870" w14:paraId="68A59010" w14:textId="77777777" w:rsidTr="00F53FDB">
        <w:trPr>
          <w:trHeight w:val="20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9ED79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7E943" w14:textId="213B54E4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C92EC" w14:textId="69EBA32D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D2A92" w14:textId="4FD8E119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6FDC8" w14:textId="1DBB403B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AADD" w14:textId="6FD8F0BB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1A585" w14:textId="2511D97D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660" w:rsidRPr="00582870" w14:paraId="3D205F7B" w14:textId="77777777" w:rsidTr="00F53FDB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B677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C85A" w14:textId="7777777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E55C" w14:textId="741FE163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CAE5" w14:textId="06C448F2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902E" w14:textId="4362DD37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F825" w14:textId="4937981F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8F91" w14:textId="0B92E4DB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6546" w14:textId="202D4029" w:rsidR="00E74660" w:rsidRPr="00582870" w:rsidRDefault="00E74660" w:rsidP="00A641C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95C59B0" w14:textId="7FA030D1" w:rsidR="001E6399" w:rsidRPr="005D6CE5" w:rsidRDefault="001E6399" w:rsidP="005748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5D6CE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E74660" w:rsidRPr="005D6CE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</w:t>
      </w:r>
      <w:r w:rsidR="005748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displaced </w:t>
      </w:r>
      <w:r w:rsidR="00E74660" w:rsidRPr="005D6CE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families and persons </w:t>
      </w:r>
      <w:r w:rsidR="005748D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inside EC </w:t>
      </w:r>
      <w:r w:rsidR="00E74660" w:rsidRPr="005D6CE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based on the final report submitted by DSWD-FO XI. </w:t>
      </w:r>
    </w:p>
    <w:p w14:paraId="7DD248FC" w14:textId="43F4D758" w:rsidR="00E74660" w:rsidRPr="006F12EE" w:rsidRDefault="001E6399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F12E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2F63645" w14:textId="77777777" w:rsidR="00E74660" w:rsidRPr="00A641CD" w:rsidRDefault="00E74660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A641CD" w:rsidRDefault="001E6399" w:rsidP="00A641C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641C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25C7E54A" w:rsidR="001E6399" w:rsidRPr="00A641CD" w:rsidRDefault="001E6399" w:rsidP="00A641C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641CD">
        <w:rPr>
          <w:rFonts w:ascii="Arial" w:eastAsia="Arial" w:hAnsi="Arial" w:cs="Arial"/>
          <w:sz w:val="24"/>
          <w:szCs w:val="24"/>
        </w:rPr>
        <w:t xml:space="preserve">There </w:t>
      </w:r>
      <w:r w:rsidR="00E74660" w:rsidRPr="00A641CD">
        <w:rPr>
          <w:rFonts w:ascii="Arial" w:eastAsia="Arial" w:hAnsi="Arial" w:cs="Arial"/>
          <w:sz w:val="24"/>
          <w:szCs w:val="24"/>
        </w:rPr>
        <w:t>we</w:t>
      </w:r>
      <w:r w:rsidRPr="00A641CD">
        <w:rPr>
          <w:rFonts w:ascii="Arial" w:eastAsia="Arial" w:hAnsi="Arial" w:cs="Arial"/>
          <w:sz w:val="24"/>
          <w:szCs w:val="24"/>
        </w:rPr>
        <w:t xml:space="preserve">re </w:t>
      </w:r>
      <w:r w:rsidR="00F70ECC" w:rsidRPr="00A641CD">
        <w:rPr>
          <w:rFonts w:ascii="Arial" w:eastAsia="Arial" w:hAnsi="Arial" w:cs="Arial"/>
          <w:b/>
          <w:sz w:val="24"/>
          <w:szCs w:val="24"/>
        </w:rPr>
        <w:t>29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A641CD">
        <w:rPr>
          <w:rFonts w:ascii="Arial" w:eastAsia="Arial" w:hAnsi="Arial" w:cs="Arial"/>
          <w:bCs/>
          <w:sz w:val="24"/>
          <w:szCs w:val="24"/>
        </w:rPr>
        <w:t>; of which</w:t>
      </w:r>
      <w:r w:rsidR="00F55528">
        <w:rPr>
          <w:rFonts w:ascii="Arial" w:eastAsia="Arial" w:hAnsi="Arial" w:cs="Arial"/>
          <w:bCs/>
          <w:sz w:val="24"/>
          <w:szCs w:val="24"/>
        </w:rPr>
        <w:t>,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 xml:space="preserve">25 </w:t>
      </w:r>
      <w:r w:rsidR="00E74660" w:rsidRPr="00A641CD">
        <w:rPr>
          <w:rFonts w:ascii="Arial" w:eastAsia="Arial" w:hAnsi="Arial" w:cs="Arial"/>
          <w:bCs/>
          <w:sz w:val="24"/>
          <w:szCs w:val="24"/>
        </w:rPr>
        <w:t>we</w:t>
      </w:r>
      <w:r w:rsidRPr="00A641CD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 xml:space="preserve">totally 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damaged </w:t>
      </w:r>
      <w:r w:rsidRPr="00A641CD">
        <w:rPr>
          <w:rFonts w:ascii="Arial" w:eastAsia="Arial" w:hAnsi="Arial" w:cs="Arial"/>
          <w:sz w:val="24"/>
          <w:szCs w:val="24"/>
        </w:rPr>
        <w:t>and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>4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E74660" w:rsidRPr="00A641CD">
        <w:rPr>
          <w:rFonts w:ascii="Arial" w:eastAsia="Arial" w:hAnsi="Arial" w:cs="Arial"/>
          <w:bCs/>
          <w:sz w:val="24"/>
          <w:szCs w:val="24"/>
        </w:rPr>
        <w:t>were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 </w:t>
      </w:r>
      <w:r w:rsidR="00E74660" w:rsidRPr="00A641CD">
        <w:rPr>
          <w:rFonts w:ascii="Arial" w:eastAsia="Arial" w:hAnsi="Arial" w:cs="Arial"/>
          <w:b/>
          <w:sz w:val="24"/>
          <w:szCs w:val="24"/>
        </w:rPr>
        <w:t xml:space="preserve">partially </w:t>
      </w:r>
      <w:r w:rsidRPr="00A641CD">
        <w:rPr>
          <w:rFonts w:ascii="Arial" w:eastAsia="Arial" w:hAnsi="Arial" w:cs="Arial"/>
          <w:b/>
          <w:sz w:val="24"/>
          <w:szCs w:val="24"/>
        </w:rPr>
        <w:t xml:space="preserve">damaged </w:t>
      </w:r>
      <w:r w:rsidRPr="00A641CD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A641CD" w:rsidRDefault="001E6399" w:rsidP="00A641CD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7F75B2D7" w:rsidR="001E6399" w:rsidRPr="00B3553A" w:rsidRDefault="001E6399" w:rsidP="00A641CD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3553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3. </w:t>
      </w:r>
      <w:r w:rsidR="00CD2787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B3553A"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  <w:r w:rsidRPr="00B3553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6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439"/>
        <w:gridCol w:w="1563"/>
        <w:gridCol w:w="1563"/>
        <w:gridCol w:w="1564"/>
      </w:tblGrid>
      <w:tr w:rsidR="001E6399" w:rsidRPr="00B3553A" w14:paraId="3D40F93B" w14:textId="77777777" w:rsidTr="007E37A6">
        <w:trPr>
          <w:trHeight w:val="20"/>
        </w:trPr>
        <w:tc>
          <w:tcPr>
            <w:tcW w:w="2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708F1D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:rsidRPr="00B3553A" w14:paraId="0DB9C735" w14:textId="77777777" w:rsidTr="007E37A6">
        <w:trPr>
          <w:trHeight w:val="20"/>
        </w:trPr>
        <w:tc>
          <w:tcPr>
            <w:tcW w:w="247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:rsidRPr="00B3553A" w14:paraId="71C5B887" w14:textId="77777777" w:rsidTr="007E37A6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6EE28948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1E6399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F9B8C7F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1E6399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48C792E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399" w:rsidRPr="00B3553A" w14:paraId="55258CF1" w14:textId="77777777" w:rsidTr="007E37A6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0C018C7B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1E6399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561BF713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1E6399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2B416BBD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399" w:rsidRPr="00B3553A" w14:paraId="328D84CB" w14:textId="77777777" w:rsidTr="007E37A6">
        <w:trPr>
          <w:trHeight w:val="20"/>
        </w:trPr>
        <w:tc>
          <w:tcPr>
            <w:tcW w:w="24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5B2EFDE8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2CEE033A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1E6399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025397E6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35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399" w:rsidRPr="00B3553A" w14:paraId="437868D9" w14:textId="77777777" w:rsidTr="007E37A6">
        <w:trPr>
          <w:trHeight w:val="20"/>
        </w:trPr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7777777" w:rsidR="001E6399" w:rsidRPr="00B3553A" w:rsidRDefault="001E6399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55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17CF4FD4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55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B355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2A9424F3" w:rsidR="001E6399" w:rsidRPr="00B3553A" w:rsidRDefault="001E6399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55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70ECC" w:rsidRPr="00B3553A"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Pr="00B355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154B9EC3" w:rsidR="001E6399" w:rsidRPr="00B3553A" w:rsidRDefault="00F70ECC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553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1E6399" w:rsidRPr="00B355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A9D008A" w14:textId="77777777" w:rsidR="001E6399" w:rsidRPr="00B3553A" w:rsidRDefault="001E6399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3553A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62BA6A1" w14:textId="77777777" w:rsidR="004667AD" w:rsidRDefault="004667AD" w:rsidP="004667AD">
      <w:pPr>
        <w:pStyle w:val="ListParagraph"/>
        <w:widowControl/>
        <w:spacing w:after="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7FBA2358" w14:textId="77777777" w:rsidR="004667AD" w:rsidRDefault="00E74660" w:rsidP="004667AD">
      <w:pPr>
        <w:pStyle w:val="ListParagraph"/>
        <w:widowControl/>
        <w:numPr>
          <w:ilvl w:val="0"/>
          <w:numId w:val="2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A641CD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37F3DC86" w14:textId="6348ED07" w:rsidR="00E74660" w:rsidRPr="004667AD" w:rsidRDefault="00E74660" w:rsidP="00777839">
      <w:pPr>
        <w:pStyle w:val="ListParagraph"/>
        <w:widowControl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4667A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5538E"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1,284,178.12 </w:t>
      </w:r>
      <w:r w:rsidRPr="004667A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to the affected families; of which, </w:t>
      </w:r>
      <w:r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5538E"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563,550.12 </w:t>
      </w:r>
      <w:r w:rsidRPr="004667AD">
        <w:rPr>
          <w:rFonts w:ascii="Arial" w:eastAsia="Times New Roman" w:hAnsi="Arial" w:cs="Arial"/>
          <w:bCs/>
          <w:sz w:val="24"/>
          <w:szCs w:val="24"/>
          <w:lang w:val="en-US" w:eastAsia="en-US"/>
        </w:rPr>
        <w:t>was provided</w:t>
      </w:r>
      <w:r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4667A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by </w:t>
      </w:r>
      <w:r w:rsidRPr="004667AD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4667A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and </w:t>
      </w:r>
      <w:r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5538E"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720,628.00 </w:t>
      </w:r>
      <w:r w:rsidRPr="004667AD">
        <w:rPr>
          <w:rFonts w:ascii="Arial" w:eastAsia="Times New Roman" w:hAnsi="Arial" w:cs="Arial"/>
          <w:bCs/>
          <w:sz w:val="24"/>
          <w:szCs w:val="24"/>
          <w:lang w:val="en-US" w:eastAsia="en-US"/>
        </w:rPr>
        <w:t>from</w:t>
      </w:r>
      <w:r w:rsidRPr="004667A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LGU </w:t>
      </w:r>
      <w:r w:rsidRPr="004667AD">
        <w:rPr>
          <w:rFonts w:ascii="Arial" w:eastAsia="Times New Roman" w:hAnsi="Arial" w:cs="Arial"/>
          <w:sz w:val="24"/>
          <w:szCs w:val="24"/>
          <w:lang w:val="en-US" w:eastAsia="en-US"/>
        </w:rPr>
        <w:t>(see Table 4).</w:t>
      </w:r>
    </w:p>
    <w:p w14:paraId="215FCF95" w14:textId="77777777" w:rsidR="00E74660" w:rsidRPr="00A641CD" w:rsidRDefault="00E74660" w:rsidP="00A641CD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3AB44DE" w14:textId="1774D4A7" w:rsidR="00E74660" w:rsidRPr="00777839" w:rsidRDefault="00E74660" w:rsidP="00A641CD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7778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        Table 4. Cost of Assistance Provided to Affected Families / Persons</w:t>
      </w:r>
    </w:p>
    <w:tbl>
      <w:tblPr>
        <w:tblW w:w="4793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397"/>
        <w:gridCol w:w="1315"/>
        <w:gridCol w:w="1317"/>
        <w:gridCol w:w="876"/>
        <w:gridCol w:w="1461"/>
        <w:gridCol w:w="1842"/>
        <w:gridCol w:w="11"/>
      </w:tblGrid>
      <w:tr w:rsidR="0045538E" w:rsidRPr="00777839" w14:paraId="779D5AA1" w14:textId="77777777" w:rsidTr="00C5338D">
        <w:trPr>
          <w:gridAfter w:val="1"/>
          <w:wAfter w:w="6" w:type="pct"/>
          <w:trHeight w:val="517"/>
        </w:trPr>
        <w:tc>
          <w:tcPr>
            <w:tcW w:w="1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04DB8E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7AE79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5538E" w:rsidRPr="00777839" w14:paraId="50E3F43D" w14:textId="77777777" w:rsidTr="00C5338D">
        <w:trPr>
          <w:trHeight w:val="20"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CA4C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088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2F7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38E" w:rsidRPr="00777839" w14:paraId="26B12DB2" w14:textId="77777777" w:rsidTr="00C5338D">
        <w:trPr>
          <w:trHeight w:val="20"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9F13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6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0B8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D23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8E" w:rsidRPr="00777839" w14:paraId="3594C6C6" w14:textId="77777777" w:rsidTr="00C5338D">
        <w:trPr>
          <w:trHeight w:val="20"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C14E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2EBDA8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2E944C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FBFF46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7D0E33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969869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  <w:tc>
          <w:tcPr>
            <w:tcW w:w="6" w:type="pct"/>
            <w:vAlign w:val="center"/>
            <w:hideMark/>
          </w:tcPr>
          <w:p w14:paraId="3B61E4D6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8E" w:rsidRPr="00777839" w14:paraId="7CE18F20" w14:textId="77777777" w:rsidTr="00EA1996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40625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3C8E7B" w14:textId="55E330BB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563,550.12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330B1B" w14:textId="36085532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720,628.00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DDF8E" w14:textId="577C05AF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60EC6" w14:textId="55347C94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6180A5" w14:textId="16DFE126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1,284,178.12 </w:t>
            </w:r>
          </w:p>
        </w:tc>
        <w:tc>
          <w:tcPr>
            <w:tcW w:w="6" w:type="pct"/>
            <w:vAlign w:val="center"/>
            <w:hideMark/>
          </w:tcPr>
          <w:p w14:paraId="7491150D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8E" w:rsidRPr="00777839" w14:paraId="646F0165" w14:textId="77777777" w:rsidTr="00EA1996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CC51E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6311E6" w14:textId="7BB0AE5C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563,550.12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28417" w14:textId="790F9D51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720,628.00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823089" w14:textId="52FCDD5E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CCADE" w14:textId="51C892ED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F6AFB" w14:textId="3A2B8F46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1,284,178.12 </w:t>
            </w:r>
          </w:p>
        </w:tc>
        <w:tc>
          <w:tcPr>
            <w:tcW w:w="6" w:type="pct"/>
            <w:vAlign w:val="center"/>
            <w:hideMark/>
          </w:tcPr>
          <w:p w14:paraId="26C81233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8E" w:rsidRPr="00777839" w14:paraId="2623463C" w14:textId="77777777" w:rsidTr="00EA1996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57BDA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D0CD9" w14:textId="422A18A5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563,550.12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2B295" w14:textId="6273CEF8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720,628.00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B81F" w14:textId="1D397E00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96DBB" w14:textId="5C52E142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36B23" w14:textId="764D8F8A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1,284,178.12 </w:t>
            </w:r>
          </w:p>
        </w:tc>
        <w:tc>
          <w:tcPr>
            <w:tcW w:w="6" w:type="pct"/>
            <w:vAlign w:val="center"/>
            <w:hideMark/>
          </w:tcPr>
          <w:p w14:paraId="52F1ED23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38E" w:rsidRPr="00777839" w14:paraId="454C4A3A" w14:textId="77777777" w:rsidTr="00EA1996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A4291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7530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9B57" w14:textId="1C4A3979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563,550.12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1778" w14:textId="344D59AE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720,628.00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3FA5" w14:textId="607DB28B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69BF" w14:textId="7EBEE524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7ED5" w14:textId="6266AFE4" w:rsidR="0045538E" w:rsidRPr="00777839" w:rsidRDefault="0045538E" w:rsidP="00A641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8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1,284,178.12 </w:t>
            </w:r>
          </w:p>
        </w:tc>
        <w:tc>
          <w:tcPr>
            <w:tcW w:w="6" w:type="pct"/>
            <w:vAlign w:val="center"/>
            <w:hideMark/>
          </w:tcPr>
          <w:p w14:paraId="4C827EEE" w14:textId="77777777" w:rsidR="0045538E" w:rsidRPr="00777839" w:rsidRDefault="0045538E" w:rsidP="00A641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D4B2D" w14:textId="1AC85DC7" w:rsidR="00E74660" w:rsidRPr="00A9188E" w:rsidRDefault="0045538E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918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74660" w:rsidRPr="00A9188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61AAF99" w14:textId="041E8883" w:rsidR="00E74660" w:rsidRDefault="00E74660" w:rsidP="00A641C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67CE87" w14:textId="77777777" w:rsidR="00474108" w:rsidRPr="00A641CD" w:rsidRDefault="00474108" w:rsidP="00A641C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5CD0ECD6" w:rsidR="001E6399" w:rsidRPr="00474108" w:rsidRDefault="001E6399" w:rsidP="00A641C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474108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409B85F9" w14:textId="77777777" w:rsidR="001E6399" w:rsidRPr="00A641CD" w:rsidRDefault="001E6399" w:rsidP="00A641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A641CD" w:rsidRDefault="001E6399" w:rsidP="00A641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641CD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FB2C46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FB2C46" w:rsidRDefault="001E6399" w:rsidP="00A641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2C4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FB2C46" w:rsidRDefault="001E6399" w:rsidP="00A641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2C4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FB2C46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9F5C69E" w:rsidR="001E6399" w:rsidRPr="00FB2C46" w:rsidRDefault="00E74660" w:rsidP="00A641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2C4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04BD3" w:rsidRPr="00FB2C4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E6399" w:rsidRPr="00FB2C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2C46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1E6399" w:rsidRPr="00FB2C4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FB2C4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E216A" w14:textId="51A2290E" w:rsidR="001E6399" w:rsidRPr="00FB2C46" w:rsidRDefault="00501835" w:rsidP="00A641C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</w:t>
            </w:r>
            <w:r w:rsidR="0045538E"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-FO </w:t>
            </w:r>
            <w:r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XI </w:t>
            </w:r>
            <w:r w:rsidR="00E74660"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E74660" w:rsidRPr="00FB2C4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74A4626B" w14:textId="127A283D" w:rsidR="0045538E" w:rsidRPr="00FB2C46" w:rsidRDefault="0045538E" w:rsidP="00A641C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XI provided 90 family kits, 90 health kits, 99 plastic mats, 99 blankets, 99 mosquito nets, 99 </w:t>
            </w:r>
            <w:proofErr w:type="spellStart"/>
            <w:r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malong</w:t>
            </w:r>
            <w:proofErr w:type="spellEnd"/>
            <w:r w:rsidRPr="00FB2C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99 kettles, 495 plates, 495 bowls, 495 drinking cups, 495 plastic tumblers and 990 pieces of spoon/fork to the affected families. </w:t>
            </w:r>
          </w:p>
        </w:tc>
      </w:tr>
    </w:tbl>
    <w:p w14:paraId="159FE105" w14:textId="58764EB8" w:rsidR="001E6399" w:rsidRDefault="001E6399" w:rsidP="00A641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DB6DACF" w14:textId="77777777" w:rsidR="00953030" w:rsidRPr="00A641CD" w:rsidRDefault="00953030" w:rsidP="00A641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953030" w:rsidRDefault="001E6399" w:rsidP="00A641C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53030">
        <w:rPr>
          <w:rFonts w:ascii="Arial" w:eastAsia="Arial" w:hAnsi="Arial" w:cs="Arial"/>
          <w:i/>
          <w:sz w:val="20"/>
          <w:szCs w:val="20"/>
        </w:rPr>
        <w:t>*****</w:t>
      </w:r>
    </w:p>
    <w:p w14:paraId="1C44A2F5" w14:textId="6EFBC2D5" w:rsidR="00E74660" w:rsidRPr="00953030" w:rsidRDefault="00E74660" w:rsidP="00A641C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953030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 for any request of Technical Assistance and Resource Augmentation (TARA).</w:t>
      </w:r>
    </w:p>
    <w:p w14:paraId="102C5365" w14:textId="2A1C7B4C" w:rsidR="00E74660" w:rsidRDefault="00E74660" w:rsidP="00A641C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1B2EBDA" w14:textId="77777777" w:rsidR="00EC1EB8" w:rsidRPr="00A641CD" w:rsidRDefault="00EC1EB8" w:rsidP="00A641C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F87FA9F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641CD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6EA670B0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023E025B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A641CD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1FED1EA0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6BC9121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B1887E3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A641CD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2721F4B2" w14:textId="77777777" w:rsidR="00E74660" w:rsidRPr="00A641CD" w:rsidRDefault="00E74660" w:rsidP="00A641C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641CD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57A0E179" w14:textId="34A5F690" w:rsidR="00C9090C" w:rsidRPr="00A641CD" w:rsidRDefault="00C9090C" w:rsidP="00A641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A641C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3C79" w14:textId="77777777" w:rsidR="00EA3F8C" w:rsidRDefault="00EA3F8C">
      <w:pPr>
        <w:spacing w:after="0" w:line="240" w:lineRule="auto"/>
      </w:pPr>
      <w:r>
        <w:separator/>
      </w:r>
    </w:p>
  </w:endnote>
  <w:endnote w:type="continuationSeparator" w:id="0">
    <w:p w14:paraId="2E70039F" w14:textId="77777777" w:rsidR="00EA3F8C" w:rsidRDefault="00EA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8131F97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2412A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2412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242283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45538E">
      <w:rPr>
        <w:rFonts w:ascii="Arial" w:eastAsia="Arial" w:hAnsi="Arial" w:cs="Arial"/>
        <w:sz w:val="14"/>
        <w:szCs w:val="18"/>
      </w:rPr>
      <w:t xml:space="preserve">Terminal </w:t>
    </w:r>
    <w:r w:rsidR="003D75C9">
      <w:rPr>
        <w:rFonts w:ascii="Arial" w:eastAsia="Arial" w:hAnsi="Arial" w:cs="Arial"/>
        <w:sz w:val="14"/>
        <w:szCs w:val="18"/>
      </w:rPr>
      <w:t xml:space="preserve">Report on the </w:t>
    </w:r>
    <w:r w:rsidR="001E6399" w:rsidRPr="001E6399">
      <w:rPr>
        <w:rFonts w:ascii="Arial" w:eastAsia="Arial" w:hAnsi="Arial" w:cs="Arial"/>
        <w:sz w:val="14"/>
        <w:szCs w:val="18"/>
      </w:rPr>
      <w:t>Fire Incident in Purok 1</w:t>
    </w:r>
    <w:r w:rsidR="00242283">
      <w:rPr>
        <w:rFonts w:ascii="Arial" w:eastAsia="Arial" w:hAnsi="Arial" w:cs="Arial"/>
        <w:sz w:val="14"/>
        <w:szCs w:val="18"/>
      </w:rPr>
      <w:t xml:space="preserve"> </w:t>
    </w:r>
    <w:r w:rsidR="001E6399" w:rsidRPr="001E6399">
      <w:rPr>
        <w:rFonts w:ascii="Arial" w:eastAsia="Arial" w:hAnsi="Arial" w:cs="Arial"/>
        <w:sz w:val="14"/>
        <w:szCs w:val="18"/>
      </w:rPr>
      <w:t>&amp;</w:t>
    </w:r>
    <w:r w:rsidR="00242283">
      <w:rPr>
        <w:rFonts w:ascii="Arial" w:eastAsia="Arial" w:hAnsi="Arial" w:cs="Arial"/>
        <w:sz w:val="14"/>
        <w:szCs w:val="18"/>
      </w:rPr>
      <w:t xml:space="preserve"> </w:t>
    </w:r>
    <w:r w:rsidR="001E6399" w:rsidRPr="001E6399">
      <w:rPr>
        <w:rFonts w:ascii="Arial" w:eastAsia="Arial" w:hAnsi="Arial" w:cs="Arial"/>
        <w:sz w:val="14"/>
        <w:szCs w:val="18"/>
      </w:rPr>
      <w:t xml:space="preserve">2, Mabini Boulevard, </w:t>
    </w:r>
    <w:proofErr w:type="spellStart"/>
    <w:r w:rsidR="001E6399" w:rsidRPr="001E6399">
      <w:rPr>
        <w:rFonts w:ascii="Arial" w:eastAsia="Arial" w:hAnsi="Arial" w:cs="Arial"/>
        <w:sz w:val="14"/>
        <w:szCs w:val="18"/>
      </w:rPr>
      <w:t>Brgy</w:t>
    </w:r>
    <w:proofErr w:type="spellEnd"/>
    <w:r w:rsidR="001E6399" w:rsidRPr="001E6399">
      <w:rPr>
        <w:rFonts w:ascii="Arial" w:eastAsia="Arial" w:hAnsi="Arial" w:cs="Arial"/>
        <w:sz w:val="14"/>
        <w:szCs w:val="18"/>
      </w:rPr>
      <w:t>. 37-D, Davao City</w:t>
    </w:r>
    <w:r w:rsidR="0045538E">
      <w:rPr>
        <w:rFonts w:ascii="Arial" w:eastAsia="Arial" w:hAnsi="Arial" w:cs="Arial"/>
        <w:sz w:val="14"/>
        <w:szCs w:val="18"/>
      </w:rPr>
      <w:t>, 23 July 2020, 6P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1A0D" w14:textId="77777777" w:rsidR="00EA3F8C" w:rsidRDefault="00EA3F8C">
      <w:pPr>
        <w:spacing w:after="0" w:line="240" w:lineRule="auto"/>
      </w:pPr>
      <w:r>
        <w:separator/>
      </w:r>
    </w:p>
  </w:footnote>
  <w:footnote w:type="continuationSeparator" w:id="0">
    <w:p w14:paraId="7F3DA575" w14:textId="77777777" w:rsidR="00EA3F8C" w:rsidRDefault="00EA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039E3A0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2283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D7664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538E"/>
    <w:rsid w:val="004664E2"/>
    <w:rsid w:val="004667AD"/>
    <w:rsid w:val="00471854"/>
    <w:rsid w:val="00474108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8D6"/>
    <w:rsid w:val="00574C3B"/>
    <w:rsid w:val="00582870"/>
    <w:rsid w:val="0058313A"/>
    <w:rsid w:val="005838F4"/>
    <w:rsid w:val="00590B6B"/>
    <w:rsid w:val="005924AF"/>
    <w:rsid w:val="00596FC3"/>
    <w:rsid w:val="005A2012"/>
    <w:rsid w:val="005B7B3E"/>
    <w:rsid w:val="005D6CE5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0C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12EE"/>
    <w:rsid w:val="006F7673"/>
    <w:rsid w:val="00700E0E"/>
    <w:rsid w:val="00702671"/>
    <w:rsid w:val="007202DE"/>
    <w:rsid w:val="00721CF9"/>
    <w:rsid w:val="0072412A"/>
    <w:rsid w:val="00730683"/>
    <w:rsid w:val="007313BB"/>
    <w:rsid w:val="0073140C"/>
    <w:rsid w:val="0073758B"/>
    <w:rsid w:val="00753A79"/>
    <w:rsid w:val="007550BB"/>
    <w:rsid w:val="007604F7"/>
    <w:rsid w:val="007767D0"/>
    <w:rsid w:val="00776A1F"/>
    <w:rsid w:val="0077783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37A6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3030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641CD"/>
    <w:rsid w:val="00A74B70"/>
    <w:rsid w:val="00A77221"/>
    <w:rsid w:val="00A820CC"/>
    <w:rsid w:val="00A8218F"/>
    <w:rsid w:val="00A870D1"/>
    <w:rsid w:val="00A87502"/>
    <w:rsid w:val="00A90A4C"/>
    <w:rsid w:val="00A9177A"/>
    <w:rsid w:val="00A9188E"/>
    <w:rsid w:val="00A919D1"/>
    <w:rsid w:val="00A94CE0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AF338D"/>
    <w:rsid w:val="00B17722"/>
    <w:rsid w:val="00B25C19"/>
    <w:rsid w:val="00B274F2"/>
    <w:rsid w:val="00B31859"/>
    <w:rsid w:val="00B3553A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5338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2787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A26C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3D08"/>
    <w:rsid w:val="00E56999"/>
    <w:rsid w:val="00E61798"/>
    <w:rsid w:val="00E66AEB"/>
    <w:rsid w:val="00E74660"/>
    <w:rsid w:val="00E755D3"/>
    <w:rsid w:val="00E8312E"/>
    <w:rsid w:val="00E95489"/>
    <w:rsid w:val="00E9712A"/>
    <w:rsid w:val="00E97EC4"/>
    <w:rsid w:val="00EA1996"/>
    <w:rsid w:val="00EA3452"/>
    <w:rsid w:val="00EA3F8C"/>
    <w:rsid w:val="00EC1834"/>
    <w:rsid w:val="00EC1EB8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3FDB"/>
    <w:rsid w:val="00F55528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2C46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B9E1-2646-467F-ABF2-E2254265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29</cp:revision>
  <dcterms:created xsi:type="dcterms:W3CDTF">2020-07-23T04:00:00Z</dcterms:created>
  <dcterms:modified xsi:type="dcterms:W3CDTF">2020-07-23T05:23:00Z</dcterms:modified>
</cp:coreProperties>
</file>