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DD1985" w14:textId="77B87484" w:rsidR="003D3744" w:rsidRPr="003B5FCE" w:rsidRDefault="001149A2" w:rsidP="003D3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8"/>
          <w:szCs w:val="24"/>
        </w:rPr>
      </w:pPr>
      <w:bookmarkStart w:id="0" w:name="_gjdgxs" w:colFirst="0" w:colLast="0"/>
      <w:bookmarkEnd w:id="0"/>
      <w:r w:rsidRPr="003B5FCE">
        <w:rPr>
          <w:rFonts w:ascii="Arial" w:eastAsia="Arial" w:hAnsi="Arial" w:cs="Arial"/>
          <w:b/>
          <w:sz w:val="28"/>
          <w:szCs w:val="24"/>
        </w:rPr>
        <w:t>D</w:t>
      </w:r>
      <w:r w:rsidR="003D3744" w:rsidRPr="003B5FCE">
        <w:rPr>
          <w:rFonts w:ascii="Arial" w:eastAsia="Arial" w:hAnsi="Arial" w:cs="Arial"/>
          <w:b/>
          <w:sz w:val="28"/>
          <w:szCs w:val="24"/>
        </w:rPr>
        <w:t xml:space="preserve">SWD </w:t>
      </w:r>
      <w:r w:rsidR="000012CB" w:rsidRPr="003B5FCE">
        <w:rPr>
          <w:rFonts w:ascii="Arial" w:eastAsia="Arial" w:hAnsi="Arial" w:cs="Arial"/>
          <w:b/>
          <w:sz w:val="28"/>
          <w:szCs w:val="24"/>
        </w:rPr>
        <w:t xml:space="preserve">DROMIC </w:t>
      </w:r>
      <w:r w:rsidR="003D3744" w:rsidRPr="003B5FCE">
        <w:rPr>
          <w:rFonts w:ascii="Arial" w:eastAsia="Arial" w:hAnsi="Arial" w:cs="Arial"/>
          <w:b/>
          <w:sz w:val="28"/>
          <w:szCs w:val="24"/>
        </w:rPr>
        <w:t>Terminal</w:t>
      </w:r>
      <w:r w:rsidRPr="003B5FCE">
        <w:rPr>
          <w:rFonts w:ascii="Arial" w:eastAsia="Arial" w:hAnsi="Arial" w:cs="Arial"/>
          <w:b/>
          <w:sz w:val="28"/>
          <w:szCs w:val="24"/>
        </w:rPr>
        <w:t xml:space="preserve"> Report </w:t>
      </w:r>
      <w:r w:rsidR="00985089" w:rsidRPr="003B5FCE">
        <w:rPr>
          <w:rFonts w:ascii="Arial" w:eastAsia="Arial" w:hAnsi="Arial" w:cs="Arial"/>
          <w:b/>
          <w:sz w:val="28"/>
          <w:szCs w:val="24"/>
        </w:rPr>
        <w:t xml:space="preserve">on the </w:t>
      </w:r>
      <w:r w:rsidR="00E36265">
        <w:rPr>
          <w:rFonts w:ascii="Arial" w:eastAsia="Arial" w:hAnsi="Arial" w:cs="Arial"/>
          <w:b/>
          <w:sz w:val="28"/>
          <w:szCs w:val="24"/>
        </w:rPr>
        <w:t>Armed Conflict</w:t>
      </w:r>
      <w:r w:rsidR="003D3744" w:rsidRPr="003B5FCE">
        <w:rPr>
          <w:rFonts w:ascii="Arial" w:eastAsia="Arial" w:hAnsi="Arial" w:cs="Arial"/>
          <w:b/>
          <w:sz w:val="28"/>
          <w:szCs w:val="24"/>
        </w:rPr>
        <w:t xml:space="preserve"> </w:t>
      </w:r>
    </w:p>
    <w:p w14:paraId="03636AE6" w14:textId="7718B3C5" w:rsidR="001149A2" w:rsidRPr="003B5FCE" w:rsidRDefault="003D3744" w:rsidP="00E36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8"/>
          <w:szCs w:val="24"/>
        </w:rPr>
      </w:pPr>
      <w:r w:rsidRPr="003B5FCE">
        <w:rPr>
          <w:rFonts w:ascii="Arial" w:eastAsia="Arial" w:hAnsi="Arial" w:cs="Arial"/>
          <w:b/>
          <w:sz w:val="28"/>
          <w:szCs w:val="24"/>
        </w:rPr>
        <w:t xml:space="preserve">in </w:t>
      </w:r>
      <w:r w:rsidR="009D00D2" w:rsidRPr="003B5FCE">
        <w:rPr>
          <w:rFonts w:ascii="Arial" w:eastAsia="Arial" w:hAnsi="Arial" w:cs="Arial"/>
          <w:b/>
          <w:sz w:val="28"/>
          <w:szCs w:val="24"/>
        </w:rPr>
        <w:t>Puro</w:t>
      </w:r>
      <w:r w:rsidR="00E36265">
        <w:rPr>
          <w:rFonts w:ascii="Arial" w:eastAsia="Arial" w:hAnsi="Arial" w:cs="Arial"/>
          <w:b/>
          <w:sz w:val="28"/>
          <w:szCs w:val="24"/>
        </w:rPr>
        <w:t xml:space="preserve">k 11, </w:t>
      </w:r>
      <w:r w:rsidRPr="003B5FCE">
        <w:rPr>
          <w:rFonts w:ascii="Arial" w:eastAsia="Arial" w:hAnsi="Arial" w:cs="Arial"/>
          <w:b/>
          <w:sz w:val="28"/>
          <w:szCs w:val="24"/>
        </w:rPr>
        <w:t>Brgy.</w:t>
      </w:r>
      <w:r w:rsidR="00E36265">
        <w:rPr>
          <w:rFonts w:ascii="Arial" w:eastAsia="Arial" w:hAnsi="Arial" w:cs="Arial"/>
          <w:b/>
          <w:sz w:val="28"/>
          <w:szCs w:val="24"/>
        </w:rPr>
        <w:t xml:space="preserve"> Buda, Marilog </w:t>
      </w:r>
      <w:r w:rsidR="00117E55" w:rsidRPr="003B5FCE">
        <w:rPr>
          <w:rFonts w:ascii="Arial" w:eastAsia="Arial" w:hAnsi="Arial" w:cs="Arial"/>
          <w:b/>
          <w:sz w:val="28"/>
          <w:szCs w:val="24"/>
        </w:rPr>
        <w:t>District, Davao City</w:t>
      </w:r>
    </w:p>
    <w:p w14:paraId="1D622FF5" w14:textId="55A994D3" w:rsidR="003D3744" w:rsidRDefault="003D3744" w:rsidP="00E36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B5FCE">
        <w:rPr>
          <w:rFonts w:ascii="Arial" w:eastAsia="Arial" w:hAnsi="Arial" w:cs="Arial"/>
          <w:sz w:val="24"/>
          <w:szCs w:val="24"/>
        </w:rPr>
        <w:t>1</w:t>
      </w:r>
      <w:r w:rsidR="004601AB" w:rsidRPr="003B5FCE">
        <w:rPr>
          <w:rFonts w:ascii="Arial" w:eastAsia="Arial" w:hAnsi="Arial" w:cs="Arial"/>
          <w:sz w:val="24"/>
          <w:szCs w:val="24"/>
        </w:rPr>
        <w:t>7</w:t>
      </w:r>
      <w:r w:rsidR="000146D5" w:rsidRPr="003B5FCE">
        <w:rPr>
          <w:rFonts w:ascii="Arial" w:eastAsia="Arial" w:hAnsi="Arial" w:cs="Arial"/>
          <w:sz w:val="24"/>
          <w:szCs w:val="24"/>
        </w:rPr>
        <w:t xml:space="preserve"> </w:t>
      </w:r>
      <w:r w:rsidRPr="003B5FCE">
        <w:rPr>
          <w:rFonts w:ascii="Arial" w:eastAsia="Arial" w:hAnsi="Arial" w:cs="Arial"/>
          <w:sz w:val="24"/>
          <w:szCs w:val="24"/>
        </w:rPr>
        <w:t>May</w:t>
      </w:r>
      <w:r w:rsidR="00BE6D8F" w:rsidRPr="003B5FCE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3B5FCE">
        <w:rPr>
          <w:rFonts w:ascii="Arial" w:eastAsia="Arial" w:hAnsi="Arial" w:cs="Arial"/>
          <w:sz w:val="24"/>
          <w:szCs w:val="24"/>
        </w:rPr>
        <w:t xml:space="preserve">, </w:t>
      </w:r>
      <w:r w:rsidRPr="003B5FCE">
        <w:rPr>
          <w:rFonts w:ascii="Arial" w:eastAsia="Arial" w:hAnsi="Arial" w:cs="Arial"/>
          <w:sz w:val="24"/>
          <w:szCs w:val="24"/>
        </w:rPr>
        <w:t>4</w:t>
      </w:r>
      <w:r w:rsidR="00985089" w:rsidRPr="003B5FCE">
        <w:rPr>
          <w:rFonts w:ascii="Arial" w:eastAsia="Arial" w:hAnsi="Arial" w:cs="Arial"/>
          <w:sz w:val="24"/>
          <w:szCs w:val="24"/>
        </w:rPr>
        <w:t>P</w:t>
      </w:r>
      <w:r w:rsidR="001149A2" w:rsidRPr="003B5FCE">
        <w:rPr>
          <w:rFonts w:ascii="Arial" w:eastAsia="Arial" w:hAnsi="Arial" w:cs="Arial"/>
          <w:sz w:val="24"/>
          <w:szCs w:val="24"/>
        </w:rPr>
        <w:t>M</w:t>
      </w:r>
    </w:p>
    <w:p w14:paraId="65BF3692" w14:textId="77777777" w:rsidR="00E36265" w:rsidRPr="003B5FCE" w:rsidRDefault="00E36265" w:rsidP="00E36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2D022286" w:rsidR="00046FA7" w:rsidRPr="003B5FCE" w:rsidRDefault="00046FA7" w:rsidP="006B6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AFFCA86" w14:textId="70FEF089" w:rsidR="003D3744" w:rsidRPr="003B5FCE" w:rsidRDefault="00E36265" w:rsidP="004601A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is the final report on the</w:t>
      </w:r>
      <w:r w:rsidRPr="00E36265">
        <w:rPr>
          <w:rFonts w:ascii="Arial" w:eastAsia="Arial" w:hAnsi="Arial" w:cs="Arial"/>
          <w:i/>
          <w:sz w:val="24"/>
          <w:szCs w:val="24"/>
        </w:rPr>
        <w:t xml:space="preserve"> armed conflict </w:t>
      </w:r>
      <w:r>
        <w:rPr>
          <w:rFonts w:ascii="Arial" w:eastAsia="Arial" w:hAnsi="Arial" w:cs="Arial"/>
          <w:i/>
          <w:sz w:val="24"/>
          <w:szCs w:val="24"/>
        </w:rPr>
        <w:t xml:space="preserve">that </w:t>
      </w:r>
      <w:r w:rsidRPr="00E36265">
        <w:rPr>
          <w:rFonts w:ascii="Arial" w:eastAsia="Arial" w:hAnsi="Arial" w:cs="Arial"/>
          <w:i/>
          <w:sz w:val="24"/>
          <w:szCs w:val="24"/>
        </w:rPr>
        <w:t xml:space="preserve">transpired in Purok 11, Brgy. Buda, Marilog District, Davao City </w:t>
      </w:r>
      <w:r>
        <w:rPr>
          <w:rFonts w:ascii="Arial" w:eastAsia="Arial" w:hAnsi="Arial" w:cs="Arial"/>
          <w:i/>
          <w:sz w:val="24"/>
          <w:szCs w:val="24"/>
        </w:rPr>
        <w:t xml:space="preserve">on April 08, 2019 </w:t>
      </w:r>
      <w:r w:rsidRPr="00E36265">
        <w:rPr>
          <w:rFonts w:ascii="Arial" w:eastAsia="Arial" w:hAnsi="Arial" w:cs="Arial"/>
          <w:i/>
          <w:sz w:val="24"/>
          <w:szCs w:val="24"/>
        </w:rPr>
        <w:t>which resulted to the displacement of families and individuals in the area.</w:t>
      </w:r>
    </w:p>
    <w:p w14:paraId="6D0CAA55" w14:textId="091E3E17" w:rsidR="006B2FC6" w:rsidRDefault="006B2FC6" w:rsidP="006B2F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40A9A8" w14:textId="77777777" w:rsidR="00AD5FA8" w:rsidRDefault="00AD5FA8" w:rsidP="006B2F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4883B7" w14:textId="4A2E4B54" w:rsidR="003B5FCE" w:rsidRPr="006B2FC6" w:rsidRDefault="006B2FC6" w:rsidP="006B2F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6B2FC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78FBDC4" w14:textId="77777777" w:rsidR="006B2FC6" w:rsidRPr="003B5FCE" w:rsidRDefault="006B2FC6" w:rsidP="006B2F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F0DF08" w14:textId="1FCEA0B7" w:rsidR="004C3CAD" w:rsidRPr="003B5FCE" w:rsidRDefault="001149A2" w:rsidP="009D00D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B5F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3B5FCE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2D579240" w14:textId="77777777" w:rsidR="000105A5" w:rsidRDefault="000105A5" w:rsidP="00AD20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1C2C63" w14:textId="2C07410E" w:rsidR="000146D5" w:rsidRPr="003B5FCE" w:rsidRDefault="000146D5" w:rsidP="00AD20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B5FCE">
        <w:rPr>
          <w:rFonts w:ascii="Arial" w:eastAsia="Arial" w:hAnsi="Arial" w:cs="Arial"/>
          <w:sz w:val="24"/>
          <w:szCs w:val="24"/>
        </w:rPr>
        <w:t xml:space="preserve">A total of </w:t>
      </w:r>
      <w:r w:rsidR="00E36265">
        <w:rPr>
          <w:rFonts w:ascii="Arial" w:eastAsia="Arial" w:hAnsi="Arial" w:cs="Arial"/>
          <w:b/>
          <w:color w:val="000000" w:themeColor="text1"/>
          <w:sz w:val="24"/>
          <w:szCs w:val="24"/>
        </w:rPr>
        <w:t>96</w:t>
      </w:r>
      <w:r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Pr="003B5FC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B5FCE">
        <w:rPr>
          <w:rFonts w:ascii="Arial" w:eastAsia="Arial" w:hAnsi="Arial" w:cs="Arial"/>
          <w:sz w:val="24"/>
          <w:szCs w:val="24"/>
        </w:rPr>
        <w:t xml:space="preserve">or </w:t>
      </w:r>
      <w:r w:rsidR="00E36265">
        <w:rPr>
          <w:rFonts w:ascii="Arial" w:eastAsia="Arial" w:hAnsi="Arial" w:cs="Arial"/>
          <w:b/>
          <w:color w:val="000000" w:themeColor="text1"/>
          <w:sz w:val="24"/>
          <w:szCs w:val="24"/>
        </w:rPr>
        <w:t>348</w:t>
      </w:r>
      <w:r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</w:t>
      </w:r>
      <w:r w:rsidRPr="003B5FC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D2091" w:rsidRPr="003B5FCE">
        <w:rPr>
          <w:rFonts w:ascii="Arial" w:eastAsia="Arial" w:hAnsi="Arial" w:cs="Arial"/>
          <w:sz w:val="24"/>
          <w:szCs w:val="24"/>
        </w:rPr>
        <w:t>were</w:t>
      </w:r>
      <w:r w:rsidRPr="003B5FCE">
        <w:rPr>
          <w:rFonts w:ascii="Arial" w:eastAsia="Arial" w:hAnsi="Arial" w:cs="Arial"/>
          <w:sz w:val="24"/>
          <w:szCs w:val="24"/>
        </w:rPr>
        <w:t xml:space="preserve"> affected </w:t>
      </w:r>
      <w:r w:rsidR="00E36265">
        <w:rPr>
          <w:rFonts w:ascii="Arial" w:eastAsia="Arial" w:hAnsi="Arial" w:cs="Arial"/>
          <w:sz w:val="24"/>
          <w:szCs w:val="24"/>
        </w:rPr>
        <w:t xml:space="preserve">by the armed conflict </w:t>
      </w:r>
      <w:r w:rsidRPr="003B5FCE">
        <w:rPr>
          <w:rFonts w:ascii="Arial" w:eastAsia="Arial" w:hAnsi="Arial" w:cs="Arial"/>
          <w:sz w:val="24"/>
          <w:szCs w:val="24"/>
        </w:rPr>
        <w:t>in</w:t>
      </w:r>
      <w:r w:rsidR="00512F94" w:rsidRPr="003B5F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17E55" w:rsidRPr="003B5FCE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A44EDB" w:rsidRPr="003B5FCE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="00117E55" w:rsidRPr="003B5FCE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0E36265">
        <w:rPr>
          <w:rFonts w:ascii="Arial" w:eastAsia="Arial" w:hAnsi="Arial" w:cs="Arial"/>
          <w:color w:val="000000" w:themeColor="text1"/>
          <w:sz w:val="24"/>
          <w:szCs w:val="24"/>
        </w:rPr>
        <w:t xml:space="preserve">ok 11, </w:t>
      </w:r>
      <w:r w:rsidR="000012CB" w:rsidRPr="003B5FCE">
        <w:rPr>
          <w:rFonts w:ascii="Arial" w:eastAsia="Arial" w:hAnsi="Arial" w:cs="Arial"/>
          <w:color w:val="000000" w:themeColor="text1"/>
          <w:sz w:val="24"/>
          <w:szCs w:val="24"/>
        </w:rPr>
        <w:t>Brgy.</w:t>
      </w:r>
      <w:r w:rsidR="00E36265">
        <w:rPr>
          <w:rFonts w:ascii="Arial" w:eastAsia="Arial" w:hAnsi="Arial" w:cs="Arial"/>
          <w:color w:val="000000" w:themeColor="text1"/>
          <w:sz w:val="24"/>
          <w:szCs w:val="24"/>
        </w:rPr>
        <w:t xml:space="preserve"> Buda, Marilog </w:t>
      </w:r>
      <w:r w:rsidR="00117E55" w:rsidRPr="003B5FCE">
        <w:rPr>
          <w:rFonts w:ascii="Arial" w:eastAsia="Arial" w:hAnsi="Arial" w:cs="Arial"/>
          <w:color w:val="000000" w:themeColor="text1"/>
          <w:sz w:val="24"/>
          <w:szCs w:val="24"/>
        </w:rPr>
        <w:t>District, Davao City</w:t>
      </w:r>
      <w:r w:rsidRPr="003B5FC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B5FCE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3B5FCE" w:rsidRDefault="000146D5" w:rsidP="00AD209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3B5FCE" w:rsidRDefault="000146D5" w:rsidP="00AD209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3B5FCE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51"/>
        <w:gridCol w:w="1721"/>
        <w:gridCol w:w="1404"/>
        <w:gridCol w:w="1406"/>
      </w:tblGrid>
      <w:tr w:rsidR="00117E55" w:rsidRPr="003B5FCE" w14:paraId="5E87CCE4" w14:textId="77777777" w:rsidTr="00AD5FA8">
        <w:trPr>
          <w:trHeight w:val="20"/>
        </w:trPr>
        <w:tc>
          <w:tcPr>
            <w:tcW w:w="2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DC76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079A6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117E55" w:rsidRPr="003B5FCE" w14:paraId="04148083" w14:textId="77777777" w:rsidTr="00AD5FA8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2C66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4081E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302D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20E9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117E55" w:rsidRPr="003B5FCE" w14:paraId="0EB6542C" w14:textId="77777777" w:rsidTr="00AD5FA8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DBA69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5340C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A8B66" w14:textId="4BEEF195" w:rsidR="00117E55" w:rsidRPr="003B5FCE" w:rsidRDefault="00117E55" w:rsidP="00E362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</w:t>
            </w:r>
            <w:r w:rsidR="00E3626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96</w:t>
            </w: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29621" w14:textId="0C5CFA85" w:rsidR="00117E55" w:rsidRPr="003B5FCE" w:rsidRDefault="00E36265" w:rsidP="00E362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348</w:t>
            </w:r>
            <w:r w:rsidR="00117E55"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17E55" w:rsidRPr="003B5FCE" w14:paraId="6A2EE6BA" w14:textId="77777777" w:rsidTr="00AD5FA8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C9EB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9FD1C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FF29E" w14:textId="2EE10B3F" w:rsidR="00117E55" w:rsidRPr="003B5FCE" w:rsidRDefault="00E3626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96</w:t>
            </w:r>
            <w:r w:rsidR="00117E55"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49E7" w14:textId="41A9F369" w:rsidR="00117E55" w:rsidRPr="003B5FCE" w:rsidRDefault="00E3626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348</w:t>
            </w:r>
            <w:r w:rsidR="00117E55"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17E55" w:rsidRPr="003B5FCE" w14:paraId="14E5961E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6562C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49F57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19FC7" w14:textId="7B4684E1" w:rsidR="00117E55" w:rsidRPr="003B5FCE" w:rsidRDefault="00E3626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96</w:t>
            </w:r>
            <w:r w:rsidR="00117E55"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B6099" w14:textId="637AAA50" w:rsidR="00117E55" w:rsidRPr="003B5FCE" w:rsidRDefault="00E3626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348</w:t>
            </w:r>
            <w:r w:rsidR="00117E55"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17E55" w:rsidRPr="003B5FCE" w14:paraId="49AABE1D" w14:textId="77777777" w:rsidTr="00117E55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CA9C8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A2FED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Davao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D81DF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B5FC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1BA1" w14:textId="4316B7F0" w:rsidR="00117E55" w:rsidRPr="003B5FCE" w:rsidRDefault="00E3626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96</w:t>
            </w:r>
            <w:r w:rsidR="00117E55" w:rsidRPr="003B5FC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E49A" w14:textId="1A3DE721" w:rsidR="00117E55" w:rsidRPr="003B5FCE" w:rsidRDefault="00E3626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348</w:t>
            </w:r>
            <w:r w:rsidR="00117E55" w:rsidRPr="003B5FC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781989EB" w14:textId="568C7CC7" w:rsidR="004A4E86" w:rsidRPr="003B5FCE" w:rsidRDefault="0083244C" w:rsidP="00AD20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B5FCE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3B5FCE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17E55" w:rsidRPr="003B5FCE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C8A58E2" w14:textId="77777777" w:rsidR="00115767" w:rsidRPr="003B5FCE" w:rsidRDefault="00115767" w:rsidP="00AD209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D0B41ED" w14:textId="150FFA3D" w:rsidR="00367336" w:rsidRDefault="000146D5" w:rsidP="006439B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3B5FCE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BBF780E" w14:textId="77777777" w:rsidR="000105A5" w:rsidRDefault="000105A5" w:rsidP="000105A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20FFC5A9" w14:textId="3662EA33" w:rsidR="000105A5" w:rsidRDefault="000105A5" w:rsidP="000105A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of the affected families who took temporary shelter in the evacuation center or stayed with their relatives and/or friends have already returned to their respective houses and resumed to their daily normal activities.</w:t>
      </w:r>
    </w:p>
    <w:p w14:paraId="1875EA51" w14:textId="77777777" w:rsidR="000105A5" w:rsidRPr="000105A5" w:rsidRDefault="000105A5" w:rsidP="000105A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6D0E6BA0" w14:textId="1AB5935A" w:rsidR="000146D5" w:rsidRPr="003B5FCE" w:rsidRDefault="000012CB" w:rsidP="006439B6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B5FCE"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0146D5" w:rsidRPr="003B5FC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67336">
        <w:rPr>
          <w:rFonts w:ascii="Arial" w:eastAsia="Arial" w:hAnsi="Arial" w:cs="Arial"/>
          <w:b/>
          <w:color w:val="000000" w:themeColor="text1"/>
          <w:sz w:val="24"/>
          <w:szCs w:val="24"/>
        </w:rPr>
        <w:t>13</w:t>
      </w:r>
      <w:r w:rsidR="0097590D"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0146D5"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="000146D5" w:rsidRPr="003B5FCE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367336">
        <w:rPr>
          <w:rFonts w:ascii="Arial" w:eastAsia="Arial" w:hAnsi="Arial" w:cs="Arial"/>
          <w:b/>
          <w:color w:val="000000" w:themeColor="text1"/>
          <w:sz w:val="24"/>
          <w:szCs w:val="24"/>
        </w:rPr>
        <w:t>65</w:t>
      </w:r>
      <w:r w:rsidR="000146D5"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</w:t>
      </w:r>
      <w:r w:rsidR="00A44EDB"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3B5FCE">
        <w:rPr>
          <w:rFonts w:ascii="Arial" w:eastAsia="Arial" w:hAnsi="Arial" w:cs="Arial"/>
          <w:color w:val="000000" w:themeColor="text1"/>
          <w:sz w:val="24"/>
          <w:szCs w:val="24"/>
        </w:rPr>
        <w:t xml:space="preserve">took temporary shelter </w:t>
      </w:r>
      <w:r w:rsidR="000105A5">
        <w:rPr>
          <w:rFonts w:ascii="Arial" w:eastAsia="Arial" w:hAnsi="Arial" w:cs="Arial"/>
          <w:color w:val="000000" w:themeColor="text1"/>
          <w:sz w:val="24"/>
          <w:szCs w:val="24"/>
        </w:rPr>
        <w:t>at the</w:t>
      </w:r>
      <w:r w:rsidR="000146D5" w:rsidRPr="003B5F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36265">
        <w:rPr>
          <w:rFonts w:ascii="Arial" w:eastAsia="Arial" w:hAnsi="Arial" w:cs="Arial"/>
          <w:b/>
          <w:sz w:val="24"/>
          <w:szCs w:val="24"/>
        </w:rPr>
        <w:t xml:space="preserve">Old Buda </w:t>
      </w:r>
      <w:r w:rsidR="000105A5">
        <w:rPr>
          <w:rFonts w:ascii="Arial" w:eastAsia="Arial" w:hAnsi="Arial" w:cs="Arial"/>
          <w:b/>
          <w:sz w:val="24"/>
          <w:szCs w:val="24"/>
        </w:rPr>
        <w:t xml:space="preserve">Barangay </w:t>
      </w:r>
      <w:r w:rsidR="00E36265">
        <w:rPr>
          <w:rFonts w:ascii="Arial" w:eastAsia="Arial" w:hAnsi="Arial" w:cs="Arial"/>
          <w:b/>
          <w:sz w:val="24"/>
          <w:szCs w:val="24"/>
        </w:rPr>
        <w:t>Hall</w:t>
      </w:r>
      <w:r w:rsidR="00A44EDB" w:rsidRPr="003B5FCE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3B5FCE">
        <w:rPr>
          <w:rFonts w:ascii="Arial" w:eastAsia="Arial" w:hAnsi="Arial" w:cs="Arial"/>
          <w:color w:val="000000"/>
          <w:sz w:val="24"/>
          <w:szCs w:val="24"/>
        </w:rPr>
        <w:t>(see Table 2).</w:t>
      </w:r>
      <w:r w:rsidR="003B5FCE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3E0CD37" w14:textId="77777777" w:rsidR="0097590D" w:rsidRPr="003B5FCE" w:rsidRDefault="0097590D" w:rsidP="00AD209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3B5FCE" w:rsidRDefault="000146D5" w:rsidP="00AD5FA8">
      <w:pPr>
        <w:widowControl/>
        <w:spacing w:after="0" w:line="240" w:lineRule="auto"/>
        <w:ind w:left="131" w:firstLine="720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3B5FCE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3B5FC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8919" w:type="dxa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930"/>
        <w:gridCol w:w="1043"/>
        <w:gridCol w:w="886"/>
        <w:gridCol w:w="886"/>
        <w:gridCol w:w="886"/>
        <w:gridCol w:w="888"/>
      </w:tblGrid>
      <w:tr w:rsidR="00117E55" w:rsidRPr="003B5FCE" w14:paraId="5AC2ECFC" w14:textId="77777777" w:rsidTr="00AD5FA8">
        <w:trPr>
          <w:trHeight w:val="20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7EF98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F8238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37CAE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117E55" w:rsidRPr="003B5FCE" w14:paraId="6AE74BC2" w14:textId="77777777" w:rsidTr="00AD5FA8">
        <w:trPr>
          <w:trHeight w:val="20"/>
        </w:trPr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7667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0E16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0C1A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71E6E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6B6C95" w:rsidRPr="003B5FCE" w14:paraId="21914B72" w14:textId="77777777" w:rsidTr="00AD5FA8">
        <w:trPr>
          <w:trHeight w:val="20"/>
        </w:trPr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23D99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1F49E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29AA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378B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0D911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42788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D7BBF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6B6C95" w:rsidRPr="003B5FCE" w14:paraId="5BA24041" w14:textId="77777777" w:rsidTr="00AD5FA8">
        <w:trPr>
          <w:trHeight w:val="2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F925" w14:textId="77777777" w:rsidR="00117E55" w:rsidRPr="003B5FCE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1CE24" w14:textId="68334F22" w:rsidR="00117E55" w:rsidRPr="003B5FCE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E22C8" w14:textId="14E2E320" w:rsidR="00117E55" w:rsidRPr="003B5FCE" w:rsidRDefault="000012CB" w:rsidP="000012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117E55"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151E" w14:textId="35D12B4B" w:rsidR="00117E55" w:rsidRPr="003B5FCE" w:rsidRDefault="00367336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13</w:t>
            </w:r>
            <w:r w:rsidR="00117E55"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FE29" w14:textId="67D7FDB7" w:rsidR="00117E55" w:rsidRPr="003B5FCE" w:rsidRDefault="000012CB" w:rsidP="000012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-</w:t>
            </w:r>
            <w:r w:rsidR="00117E55"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231B3" w14:textId="0E0F1343" w:rsidR="00117E55" w:rsidRPr="003B5FCE" w:rsidRDefault="00367336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65</w:t>
            </w:r>
            <w:r w:rsidR="00117E55"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992D1" w14:textId="16C25C35" w:rsidR="00117E55" w:rsidRPr="003B5FCE" w:rsidRDefault="000012CB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367336" w:rsidRPr="003B5FCE" w14:paraId="74C3E34A" w14:textId="77777777" w:rsidTr="00AD5FA8">
        <w:trPr>
          <w:trHeight w:val="2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DFC4" w14:textId="77777777" w:rsidR="00367336" w:rsidRPr="003B5FCE" w:rsidRDefault="00367336" w:rsidP="003673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06075" w14:textId="40888900" w:rsidR="00367336" w:rsidRPr="003B5FCE" w:rsidRDefault="00367336" w:rsidP="0036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144E4" w14:textId="560AE033" w:rsidR="00367336" w:rsidRPr="003B5FCE" w:rsidRDefault="00367336" w:rsidP="0036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CB73E" w14:textId="25193AC9" w:rsidR="00367336" w:rsidRPr="003B5FCE" w:rsidRDefault="00367336" w:rsidP="0036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B49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AC40" w14:textId="33A833B4" w:rsidR="00367336" w:rsidRPr="003B5FCE" w:rsidRDefault="00367336" w:rsidP="0036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2EE36" w14:textId="4BA27E01" w:rsidR="00367336" w:rsidRPr="003B5FCE" w:rsidRDefault="00367336" w:rsidP="0036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730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97B16" w14:textId="44AD706C" w:rsidR="00367336" w:rsidRPr="003B5FCE" w:rsidRDefault="00367336" w:rsidP="0036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367336" w:rsidRPr="003B5FCE" w14:paraId="6FC1C085" w14:textId="77777777" w:rsidTr="00AD5FA8">
        <w:trPr>
          <w:trHeight w:val="2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38818" w14:textId="77777777" w:rsidR="00367336" w:rsidRPr="003B5FCE" w:rsidRDefault="00367336" w:rsidP="003673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BE16" w14:textId="15FCFCB8" w:rsidR="00367336" w:rsidRPr="003B5FCE" w:rsidRDefault="00367336" w:rsidP="0036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122C5" w14:textId="296C3A91" w:rsidR="00367336" w:rsidRPr="003B5FCE" w:rsidRDefault="00367336" w:rsidP="0036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F8BB3" w14:textId="5C18C6B2" w:rsidR="00367336" w:rsidRPr="003B5FCE" w:rsidRDefault="00367336" w:rsidP="0036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B49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F2B59" w14:textId="54E5D909" w:rsidR="00367336" w:rsidRPr="003B5FCE" w:rsidRDefault="00367336" w:rsidP="0036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EA49C" w14:textId="38ECC49D" w:rsidR="00367336" w:rsidRPr="003B5FCE" w:rsidRDefault="00367336" w:rsidP="0036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730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E61D" w14:textId="16B35ABA" w:rsidR="00367336" w:rsidRPr="003B5FCE" w:rsidRDefault="00367336" w:rsidP="003673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6B6C95" w:rsidRPr="003B5FCE" w14:paraId="22E624FE" w14:textId="77777777" w:rsidTr="00AD5FA8">
        <w:trPr>
          <w:trHeight w:val="2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431C3" w14:textId="6CA52DD1" w:rsidR="006B6C95" w:rsidRPr="003B5FCE" w:rsidRDefault="006B6C95" w:rsidP="006B6C95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Davao City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60537" w14:textId="6C994705" w:rsidR="006B6C95" w:rsidRPr="003B5FCE" w:rsidRDefault="006B6C9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30718" w14:textId="5536154C" w:rsidR="006B6C95" w:rsidRPr="003B5FCE" w:rsidRDefault="000012CB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3DDCA" w14:textId="135D88F8" w:rsidR="006B6C95" w:rsidRPr="003B5FCE" w:rsidRDefault="00367336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05F74" w14:textId="7796E6F3" w:rsidR="006B6C95" w:rsidRPr="003B5FCE" w:rsidRDefault="000012CB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AD383" w14:textId="440AC586" w:rsidR="006B6C95" w:rsidRPr="003B5FCE" w:rsidRDefault="00367336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1116C" w14:textId="551B84AE" w:rsidR="006B6C95" w:rsidRPr="003B5FCE" w:rsidRDefault="000012CB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0D66A331" w14:textId="368906F2" w:rsidR="006B6C95" w:rsidRDefault="006B6C95" w:rsidP="00E3626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B5FCE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41DC533F" w14:textId="02933F8E" w:rsidR="00367336" w:rsidRDefault="00367336" w:rsidP="00E3626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1BA4DD" w14:textId="77777777" w:rsidR="000105A5" w:rsidRDefault="000105A5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70FDF91D" w14:textId="0B051C4E" w:rsidR="00367336" w:rsidRPr="00367336" w:rsidRDefault="00367336" w:rsidP="006439B6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67336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A total of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83</w:t>
      </w:r>
      <w:r w:rsidRPr="0036733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Pr="00367336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283</w:t>
      </w:r>
      <w:r w:rsidRPr="0036733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 </w:t>
      </w:r>
      <w:r w:rsidR="006439B6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temporarily stayed with relatives and/or friends </w:t>
      </w:r>
      <w:r w:rsidR="006439B6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Pr="00367336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8FB3941" w14:textId="5ECF3705" w:rsidR="00367336" w:rsidRDefault="00367336" w:rsidP="006439B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44731C3" w14:textId="390B2794" w:rsidR="00367336" w:rsidRPr="003B5FCE" w:rsidRDefault="00367336" w:rsidP="00AD5FA8">
      <w:pPr>
        <w:widowControl/>
        <w:spacing w:after="0" w:line="240" w:lineRule="auto"/>
        <w:ind w:left="131" w:firstLine="720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3B5FCE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Displaced Families / Persons </w:t>
      </w:r>
      <w:r w:rsidR="000105A5">
        <w:rPr>
          <w:rFonts w:ascii="Arial" w:eastAsia="Arial" w:hAnsi="Arial" w:cs="Arial"/>
          <w:b/>
          <w:i/>
          <w:color w:val="000000"/>
          <w:sz w:val="20"/>
          <w:szCs w:val="24"/>
        </w:rPr>
        <w:t>Outside</w:t>
      </w:r>
      <w:r w:rsidRPr="003B5FCE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  <w:r w:rsidRPr="003B5FC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1244"/>
        <w:gridCol w:w="1244"/>
        <w:gridCol w:w="1244"/>
        <w:gridCol w:w="1244"/>
      </w:tblGrid>
      <w:tr w:rsidR="00AD5FA8" w:rsidRPr="003B5FCE" w14:paraId="5B8E886A" w14:textId="77777777" w:rsidTr="000105A5">
        <w:trPr>
          <w:trHeight w:val="20"/>
        </w:trPr>
        <w:tc>
          <w:tcPr>
            <w:tcW w:w="2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CEAEC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7AE18" w14:textId="3447161B" w:rsidR="00AD5FA8" w:rsidRPr="003B5FCE" w:rsidRDefault="00AD5FA8" w:rsidP="00AD5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OUTSIDE</w:t>
            </w: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ECs </w:t>
            </w:r>
          </w:p>
        </w:tc>
      </w:tr>
      <w:tr w:rsidR="00AD5FA8" w:rsidRPr="003B5FCE" w14:paraId="710AE687" w14:textId="77777777" w:rsidTr="000105A5">
        <w:trPr>
          <w:trHeight w:val="20"/>
        </w:trPr>
        <w:tc>
          <w:tcPr>
            <w:tcW w:w="2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41F1B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0D768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48B24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AD5FA8" w:rsidRPr="003B5FCE" w14:paraId="4920245F" w14:textId="77777777" w:rsidTr="000105A5">
        <w:trPr>
          <w:trHeight w:val="20"/>
        </w:trPr>
        <w:tc>
          <w:tcPr>
            <w:tcW w:w="2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AAC06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D9CA4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F2A6C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B7256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25E2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AD5FA8" w:rsidRPr="003B5FCE" w14:paraId="3119D190" w14:textId="77777777" w:rsidTr="000105A5">
        <w:trPr>
          <w:trHeight w:val="20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01F1C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B6104" w14:textId="7B4C6DE7" w:rsidR="00AD5FA8" w:rsidRPr="003B5FCE" w:rsidRDefault="00AD5FA8" w:rsidP="004170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83</w:t>
            </w: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5C6B1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-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47840" w14:textId="12E0E92B" w:rsidR="00AD5FA8" w:rsidRPr="003B5FCE" w:rsidRDefault="00AD5FA8" w:rsidP="004170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283</w:t>
            </w: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60424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AD5FA8" w:rsidRPr="003B5FCE" w14:paraId="018F1F6D" w14:textId="77777777" w:rsidTr="00AD5FA8">
        <w:trPr>
          <w:trHeight w:val="20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95E26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40378" w14:textId="586177EC" w:rsidR="00AD5FA8" w:rsidRPr="003B5FCE" w:rsidRDefault="00AD5FA8" w:rsidP="004170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83</w:t>
            </w: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6114D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27072" w14:textId="377F0126" w:rsidR="00AD5FA8" w:rsidRPr="003B5FCE" w:rsidRDefault="00AD5FA8" w:rsidP="004170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283</w:t>
            </w: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0851A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AD5FA8" w:rsidRPr="003B5FCE" w14:paraId="1D8E0130" w14:textId="77777777" w:rsidTr="00AD5FA8">
        <w:trPr>
          <w:trHeight w:val="20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53811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FB60C" w14:textId="631AD9D5" w:rsidR="00AD5FA8" w:rsidRPr="003B5FCE" w:rsidRDefault="00AD5FA8" w:rsidP="004170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83</w:t>
            </w: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7B8F7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-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7D99" w14:textId="5A95A8D7" w:rsidR="00AD5FA8" w:rsidRPr="003B5FCE" w:rsidRDefault="00AD5FA8" w:rsidP="004170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283</w:t>
            </w: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23452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AD5FA8" w:rsidRPr="003B5FCE" w14:paraId="19F778F9" w14:textId="77777777" w:rsidTr="00AD5FA8">
        <w:trPr>
          <w:trHeight w:val="20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04848" w14:textId="77777777" w:rsidR="00AD5FA8" w:rsidRPr="003B5FCE" w:rsidRDefault="00AD5FA8" w:rsidP="00417016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Davao City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4D648" w14:textId="16A12928" w:rsidR="00AD5FA8" w:rsidRPr="003B5FCE" w:rsidRDefault="00AD5FA8" w:rsidP="004170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6439B6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D30FE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D59E3" w14:textId="7CB4A3D1" w:rsidR="00AD5FA8" w:rsidRPr="003B5FCE" w:rsidRDefault="00AD5FA8" w:rsidP="004170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6439B6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283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E3C99" w14:textId="77777777" w:rsidR="00AD5FA8" w:rsidRPr="003B5FCE" w:rsidRDefault="00AD5FA8" w:rsidP="004170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B5FC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47D93401" w14:textId="183A0DDC" w:rsidR="00367336" w:rsidRDefault="00367336" w:rsidP="006439B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B5FCE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2F655037" w14:textId="51C000D6" w:rsidR="00E36265" w:rsidRPr="00E36265" w:rsidRDefault="00E36265" w:rsidP="00E3626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40FDC3" w14:textId="690DC298" w:rsidR="004C3CAD" w:rsidRPr="00E36265" w:rsidRDefault="00140DA1" w:rsidP="003673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3B5FCE">
        <w:rPr>
          <w:rFonts w:ascii="Arial" w:eastAsia="Arial" w:hAnsi="Arial" w:cs="Arial"/>
          <w:b/>
          <w:color w:val="002060"/>
          <w:sz w:val="24"/>
          <w:szCs w:val="24"/>
        </w:rPr>
        <w:t xml:space="preserve">Assistance </w:t>
      </w:r>
      <w:r w:rsidR="000105A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bookmarkStart w:id="1" w:name="_GoBack"/>
      <w:bookmarkEnd w:id="1"/>
    </w:p>
    <w:p w14:paraId="72F7F712" w14:textId="77777777" w:rsidR="000105A5" w:rsidRDefault="000105A5" w:rsidP="00E36265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A5DF60C" w14:textId="4A7B3047" w:rsidR="00140DA1" w:rsidRDefault="00140DA1" w:rsidP="00E36265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5FCE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="00E36265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₱576,458.00</w:t>
      </w:r>
      <w:r w:rsidRPr="003B5FCE">
        <w:rPr>
          <w:rFonts w:ascii="Arial" w:eastAsia="Times New Roman" w:hAnsi="Arial" w:cs="Arial"/>
          <w:b/>
          <w:bCs/>
          <w:color w:val="0070C0"/>
          <w:sz w:val="24"/>
          <w:szCs w:val="24"/>
        </w:rPr>
        <w:t> </w:t>
      </w:r>
      <w:r w:rsidRPr="003B5FCE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 w:rsidR="00E36265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="00E36265" w:rsidRPr="003B5F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LGU </w:t>
      </w:r>
      <w:r w:rsidR="00E36265">
        <w:rPr>
          <w:rFonts w:ascii="Arial" w:eastAsia="Times New Roman" w:hAnsi="Arial" w:cs="Arial"/>
          <w:color w:val="000000"/>
          <w:sz w:val="24"/>
          <w:szCs w:val="24"/>
        </w:rPr>
        <w:t>to the affected families</w:t>
      </w:r>
      <w:r w:rsidR="000012CB" w:rsidRPr="003B5FC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67336">
        <w:rPr>
          <w:rFonts w:ascii="Arial" w:eastAsia="Times New Roman" w:hAnsi="Arial" w:cs="Arial"/>
          <w:color w:val="000000"/>
          <w:sz w:val="24"/>
          <w:szCs w:val="24"/>
        </w:rPr>
        <w:t>(see Table 4</w:t>
      </w:r>
      <w:r w:rsidRPr="003B5FC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22E01E51" w14:textId="77777777" w:rsidR="00E36265" w:rsidRPr="00E36265" w:rsidRDefault="00E36265" w:rsidP="00E36265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1B50C4A" w14:textId="6ADCF00E" w:rsidR="00140DA1" w:rsidRPr="006B2FC6" w:rsidRDefault="00E36265" w:rsidP="006B2FC6">
      <w:pPr>
        <w:widowControl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="0036733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4</w:t>
      </w:r>
      <w:r w:rsidR="00140DA1"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1337"/>
        <w:gridCol w:w="1217"/>
        <w:gridCol w:w="1022"/>
        <w:gridCol w:w="1291"/>
        <w:gridCol w:w="1513"/>
      </w:tblGrid>
      <w:tr w:rsidR="00140DA1" w:rsidRPr="006B2FC6" w14:paraId="6838FE91" w14:textId="77777777" w:rsidTr="006B2FC6">
        <w:trPr>
          <w:trHeight w:val="20"/>
        </w:trPr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5C3B" w14:textId="77777777" w:rsidR="00140DA1" w:rsidRPr="006B2FC6" w:rsidRDefault="00140DA1" w:rsidP="00140DA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REGION / PROVINCE / MUNICIPALITY</w:t>
            </w:r>
          </w:p>
        </w:tc>
        <w:tc>
          <w:tcPr>
            <w:tcW w:w="3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2C1B" w14:textId="77777777" w:rsidR="00140DA1" w:rsidRPr="006B2FC6" w:rsidRDefault="00140DA1" w:rsidP="00140DA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TOTAL COST OF ASSISTANCE</w:t>
            </w:r>
          </w:p>
        </w:tc>
      </w:tr>
      <w:tr w:rsidR="00140DA1" w:rsidRPr="006B2FC6" w14:paraId="11807DB7" w14:textId="77777777" w:rsidTr="006B2FC6">
        <w:trPr>
          <w:trHeight w:val="20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AFD0E" w14:textId="77777777" w:rsidR="00140DA1" w:rsidRPr="006B2FC6" w:rsidRDefault="00140DA1" w:rsidP="00140DA1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AF002" w14:textId="77777777" w:rsidR="00140DA1" w:rsidRPr="006B2FC6" w:rsidRDefault="00140DA1" w:rsidP="00140DA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DSWD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64230" w14:textId="77777777" w:rsidR="00140DA1" w:rsidRPr="006B2FC6" w:rsidRDefault="00140DA1" w:rsidP="00140DA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LGU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5ED87" w14:textId="77777777" w:rsidR="00140DA1" w:rsidRPr="006B2FC6" w:rsidRDefault="00140DA1" w:rsidP="00140DA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NGOs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60F76" w14:textId="77777777" w:rsidR="00140DA1" w:rsidRPr="006B2FC6" w:rsidRDefault="00140DA1" w:rsidP="00140DA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OTHERS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BFD48" w14:textId="77777777" w:rsidR="00140DA1" w:rsidRPr="006B2FC6" w:rsidRDefault="00140DA1" w:rsidP="00140DA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GRAND TOTAL</w:t>
            </w:r>
          </w:p>
        </w:tc>
      </w:tr>
      <w:tr w:rsidR="00E36265" w:rsidRPr="006B2FC6" w14:paraId="7B00A302" w14:textId="77777777" w:rsidTr="006B2FC6">
        <w:trPr>
          <w:trHeight w:val="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7EB2" w14:textId="77777777" w:rsidR="00E36265" w:rsidRPr="006B2FC6" w:rsidRDefault="00E36265" w:rsidP="00E3626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GRAND TOTAL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02265" w14:textId="6E9DB24A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44B38" w14:textId="07326A83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576,458</w:t>
            </w:r>
            <w:r w:rsidR="000105A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.00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6649B" w14:textId="77777777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702A" w14:textId="77777777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              - 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1DDA4" w14:textId="79D1E6F9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576,458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.00</w:t>
            </w:r>
          </w:p>
        </w:tc>
      </w:tr>
      <w:tr w:rsidR="00E36265" w:rsidRPr="006B2FC6" w14:paraId="59547901" w14:textId="77777777" w:rsidTr="00203BD0">
        <w:trPr>
          <w:trHeight w:val="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7A09" w14:textId="451C65D0" w:rsidR="00E36265" w:rsidRPr="006B2FC6" w:rsidRDefault="00E36265" w:rsidP="00E362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REGION XI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8A448" w14:textId="187E314C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1F0B" w14:textId="668FD76F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9064C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576,458</w:t>
            </w:r>
            <w:r w:rsidR="000105A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.00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CE60" w14:textId="77777777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C0980" w14:textId="77777777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              - 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380F" w14:textId="134BCECD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576,458.00</w:t>
            </w:r>
          </w:p>
        </w:tc>
      </w:tr>
      <w:tr w:rsidR="00E36265" w:rsidRPr="006B2FC6" w14:paraId="6F24C180" w14:textId="77777777" w:rsidTr="00203BD0">
        <w:trPr>
          <w:trHeight w:val="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083D" w14:textId="4CED6614" w:rsidR="00E36265" w:rsidRPr="006B2FC6" w:rsidRDefault="00E36265" w:rsidP="00E362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Davao del Sur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FBCB7" w14:textId="7F025D8B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86EE" w14:textId="37D5F3D8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9064C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576,458</w:t>
            </w:r>
            <w:r w:rsidR="000105A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.00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0391E" w14:textId="77777777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C19DF" w14:textId="77777777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              - 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98874" w14:textId="5931CD6B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576,458.00</w:t>
            </w:r>
          </w:p>
        </w:tc>
      </w:tr>
      <w:tr w:rsidR="00E36265" w:rsidRPr="006B2FC6" w14:paraId="6D149C9A" w14:textId="77777777" w:rsidTr="006B2FC6">
        <w:trPr>
          <w:trHeight w:val="73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94DF" w14:textId="7BEB881B" w:rsidR="00E36265" w:rsidRPr="006B2FC6" w:rsidRDefault="00E36265" w:rsidP="00E36265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 </w:t>
            </w:r>
            <w:r w:rsidRPr="006B2FC6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Davao City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4F778" w14:textId="54B021BE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82DF" w14:textId="1451216B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</w:pPr>
            <w:r w:rsidRPr="00E362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  <w:t>576,458</w:t>
            </w:r>
            <w:r w:rsidR="000105A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  <w:t>.00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77B68" w14:textId="77777777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608D0" w14:textId="77777777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  <w:t>              - 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D1112" w14:textId="28342B4C" w:rsidR="00E36265" w:rsidRPr="006B2FC6" w:rsidRDefault="00E36265" w:rsidP="00E3626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E36265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  <w:t>576,458.00</w:t>
            </w:r>
          </w:p>
        </w:tc>
      </w:tr>
    </w:tbl>
    <w:p w14:paraId="0C20E93A" w14:textId="77777777" w:rsidR="00140DA1" w:rsidRPr="006B2FC6" w:rsidRDefault="00140DA1" w:rsidP="00140DA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2FC6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1AE9D99D" w14:textId="60BC9CF0" w:rsidR="004C3CAD" w:rsidRDefault="004C3CAD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EDD8AE3" w14:textId="77777777" w:rsidR="006B2FC6" w:rsidRPr="003B5FCE" w:rsidRDefault="006B2FC6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6B2FC6" w:rsidRDefault="001149A2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6B2FC6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3B5FCE" w:rsidRDefault="00115767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5A828D09" w:rsidR="001149A2" w:rsidRPr="003B5FCE" w:rsidRDefault="001149A2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B5FC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B6C95" w:rsidRPr="003B5FCE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B2FC6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B2FC6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2FC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B2FC6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2FC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6B2FC6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B895DE7" w:rsidR="001149A2" w:rsidRPr="006B2FC6" w:rsidRDefault="000012CB" w:rsidP="000012C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2FC6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4C3CAD" w:rsidRPr="006B2FC6">
              <w:rPr>
                <w:rFonts w:ascii="Arial" w:eastAsia="Arial" w:hAnsi="Arial" w:cs="Arial"/>
                <w:color w:val="0070C0"/>
                <w:sz w:val="20"/>
                <w:szCs w:val="24"/>
              </w:rPr>
              <w:t>7 Ma</w:t>
            </w:r>
            <w:r w:rsidRPr="006B2FC6">
              <w:rPr>
                <w:rFonts w:ascii="Arial" w:eastAsia="Arial" w:hAnsi="Arial" w:cs="Arial"/>
                <w:color w:val="0070C0"/>
                <w:sz w:val="20"/>
                <w:szCs w:val="24"/>
              </w:rPr>
              <w:t>y</w:t>
            </w:r>
            <w:r w:rsidR="004C3CAD" w:rsidRPr="006B2FC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37FC251D" w:rsidR="009D00D2" w:rsidRPr="006B2FC6" w:rsidRDefault="009D00D2" w:rsidP="000012CB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6B2FC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XI </w:t>
            </w:r>
            <w:r w:rsidR="000012CB" w:rsidRPr="006B2FC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0012CB" w:rsidRPr="006B2FC6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report.</w:t>
            </w:r>
          </w:p>
        </w:tc>
      </w:tr>
    </w:tbl>
    <w:p w14:paraId="30EF2A2D" w14:textId="3D4BD901" w:rsidR="00B81D7E" w:rsidRPr="003B5FCE" w:rsidRDefault="00B81D7E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1D0D0EF" w14:textId="77777777" w:rsidR="001E33B7" w:rsidRPr="003B5FCE" w:rsidRDefault="001E33B7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B2FC6" w:rsidRDefault="001149A2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B2FC6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4B07542C" w:rsidR="00B75DA9" w:rsidRPr="006B2FC6" w:rsidRDefault="001149A2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B2FC6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0012CB" w:rsidRPr="006B2FC6">
        <w:rPr>
          <w:rFonts w:ascii="Arial" w:eastAsia="Arial" w:hAnsi="Arial" w:cs="Arial"/>
          <w:i/>
          <w:sz w:val="20"/>
          <w:szCs w:val="24"/>
        </w:rPr>
        <w:t>continues to closely coordinate with DSWD-FO XI for any request of Technical Assistance and Resource Augmentation (TARA).</w:t>
      </w:r>
    </w:p>
    <w:p w14:paraId="4DB7BDEA" w14:textId="57232D65" w:rsidR="00C9090C" w:rsidRPr="003B5FCE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32D44BAD" w:rsidR="00C9090C" w:rsidRPr="003B5FCE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567FA27" w14:textId="77777777" w:rsidR="000012CB" w:rsidRPr="003B5FCE" w:rsidRDefault="000012CB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D41FE48" w14:textId="77777777" w:rsidR="001E33B7" w:rsidRPr="003B5FCE" w:rsidRDefault="001E33B7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6B6B413" w:rsidR="00C9090C" w:rsidRPr="003B5FCE" w:rsidRDefault="000012CB" w:rsidP="00AD209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B5FCE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3B5FCE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  <w:vertAlign w:val="subscript"/>
        </w:rPr>
      </w:pPr>
      <w:r w:rsidRPr="003B5FCE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3B5FCE" w:rsidSect="006B2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FFF20" w14:textId="77777777" w:rsidR="00860165" w:rsidRDefault="00860165">
      <w:pPr>
        <w:spacing w:after="0" w:line="240" w:lineRule="auto"/>
      </w:pPr>
      <w:r>
        <w:separator/>
      </w:r>
    </w:p>
  </w:endnote>
  <w:endnote w:type="continuationSeparator" w:id="0">
    <w:p w14:paraId="624B8CDF" w14:textId="77777777" w:rsidR="00860165" w:rsidRDefault="0086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338B1B9" w14:textId="412F2975" w:rsidR="00117E55" w:rsidRPr="00117E55" w:rsidRDefault="0082655B" w:rsidP="000105A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2"/>
        <w:szCs w:val="14"/>
      </w:rPr>
    </w:pPr>
    <w:bookmarkStart w:id="3" w:name="_1t3h5sf" w:colFirst="0" w:colLast="0"/>
    <w:bookmarkEnd w:id="3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0105A5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0105A5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E36265" w:rsidRPr="00E36265">
      <w:rPr>
        <w:rFonts w:ascii="Arial" w:eastAsia="Arial" w:hAnsi="Arial" w:cs="Arial"/>
        <w:sz w:val="12"/>
        <w:szCs w:val="14"/>
      </w:rPr>
      <w:t>DSWD DROMIC Terminal Report on the Armed Conflict in Purok 11, Brgy. Bud</w:t>
    </w:r>
    <w:r w:rsidR="00E36265">
      <w:rPr>
        <w:rFonts w:ascii="Arial" w:eastAsia="Arial" w:hAnsi="Arial" w:cs="Arial"/>
        <w:sz w:val="12"/>
        <w:szCs w:val="14"/>
      </w:rPr>
      <w:t>a, Marilog District, Davao City</w:t>
    </w:r>
    <w:r w:rsidR="000105A5">
      <w:rPr>
        <w:rFonts w:ascii="Arial" w:eastAsia="Arial" w:hAnsi="Arial" w:cs="Arial"/>
        <w:sz w:val="12"/>
        <w:szCs w:val="14"/>
      </w:rPr>
      <w:t>,</w:t>
    </w:r>
    <w:r w:rsidR="00E36265">
      <w:rPr>
        <w:rFonts w:ascii="Arial" w:eastAsia="Arial" w:hAnsi="Arial" w:cs="Arial"/>
        <w:sz w:val="12"/>
        <w:szCs w:val="14"/>
      </w:rPr>
      <w:t xml:space="preserve"> </w:t>
    </w:r>
    <w:r w:rsidR="00E36265" w:rsidRPr="00E36265">
      <w:rPr>
        <w:rFonts w:ascii="Arial" w:eastAsia="Arial" w:hAnsi="Arial" w:cs="Arial"/>
        <w:sz w:val="12"/>
        <w:szCs w:val="14"/>
      </w:rPr>
      <w:t>17 May 2019, 4PM</w:t>
    </w:r>
  </w:p>
  <w:p w14:paraId="0645D380" w14:textId="15CCF81E" w:rsidR="00B75DA9" w:rsidRDefault="00B75DA9" w:rsidP="00117E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F1F92" w14:textId="77777777" w:rsidR="00860165" w:rsidRDefault="00860165">
      <w:pPr>
        <w:spacing w:after="0" w:line="240" w:lineRule="auto"/>
      </w:pPr>
      <w:r>
        <w:separator/>
      </w:r>
    </w:p>
  </w:footnote>
  <w:footnote w:type="continuationSeparator" w:id="0">
    <w:p w14:paraId="5F315784" w14:textId="77777777" w:rsidR="00860165" w:rsidRDefault="0086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067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2CB"/>
    <w:rsid w:val="00001EC7"/>
    <w:rsid w:val="00006D6A"/>
    <w:rsid w:val="000101D0"/>
    <w:rsid w:val="000105A5"/>
    <w:rsid w:val="000146D5"/>
    <w:rsid w:val="00042FEB"/>
    <w:rsid w:val="00046FA7"/>
    <w:rsid w:val="00050766"/>
    <w:rsid w:val="00064AE3"/>
    <w:rsid w:val="00083789"/>
    <w:rsid w:val="00096310"/>
    <w:rsid w:val="000E0DBD"/>
    <w:rsid w:val="000E38E9"/>
    <w:rsid w:val="000E5724"/>
    <w:rsid w:val="000F3C29"/>
    <w:rsid w:val="000F4719"/>
    <w:rsid w:val="00103995"/>
    <w:rsid w:val="00106704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03C07"/>
    <w:rsid w:val="003169F2"/>
    <w:rsid w:val="0031795A"/>
    <w:rsid w:val="0033511E"/>
    <w:rsid w:val="00352A0E"/>
    <w:rsid w:val="00367336"/>
    <w:rsid w:val="00371C7A"/>
    <w:rsid w:val="00386942"/>
    <w:rsid w:val="0039157E"/>
    <w:rsid w:val="003B5FCE"/>
    <w:rsid w:val="003C3015"/>
    <w:rsid w:val="003D3744"/>
    <w:rsid w:val="003D719C"/>
    <w:rsid w:val="003F0F20"/>
    <w:rsid w:val="00412747"/>
    <w:rsid w:val="00415BD0"/>
    <w:rsid w:val="00416CD0"/>
    <w:rsid w:val="00422596"/>
    <w:rsid w:val="00422948"/>
    <w:rsid w:val="00432F83"/>
    <w:rsid w:val="004347A5"/>
    <w:rsid w:val="004601AB"/>
    <w:rsid w:val="004664E2"/>
    <w:rsid w:val="004A4E86"/>
    <w:rsid w:val="004B6643"/>
    <w:rsid w:val="004C3428"/>
    <w:rsid w:val="004C3CAD"/>
    <w:rsid w:val="004C4558"/>
    <w:rsid w:val="004F5AA7"/>
    <w:rsid w:val="0050663A"/>
    <w:rsid w:val="00512F94"/>
    <w:rsid w:val="0052595A"/>
    <w:rsid w:val="00532BC8"/>
    <w:rsid w:val="0058197B"/>
    <w:rsid w:val="005838F4"/>
    <w:rsid w:val="00590B6B"/>
    <w:rsid w:val="005B7B3E"/>
    <w:rsid w:val="0061793C"/>
    <w:rsid w:val="00635DDB"/>
    <w:rsid w:val="006439B6"/>
    <w:rsid w:val="00651F59"/>
    <w:rsid w:val="00672917"/>
    <w:rsid w:val="0069788A"/>
    <w:rsid w:val="006A6903"/>
    <w:rsid w:val="006B2FC6"/>
    <w:rsid w:val="006B6C95"/>
    <w:rsid w:val="006C7E5F"/>
    <w:rsid w:val="006D729D"/>
    <w:rsid w:val="006F0656"/>
    <w:rsid w:val="006F7673"/>
    <w:rsid w:val="00721CF9"/>
    <w:rsid w:val="007313BB"/>
    <w:rsid w:val="0073140C"/>
    <w:rsid w:val="00735A53"/>
    <w:rsid w:val="0073758B"/>
    <w:rsid w:val="007529C5"/>
    <w:rsid w:val="007676C2"/>
    <w:rsid w:val="00773B3E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34FD"/>
    <w:rsid w:val="0082655B"/>
    <w:rsid w:val="008268F2"/>
    <w:rsid w:val="0083244C"/>
    <w:rsid w:val="008524BB"/>
    <w:rsid w:val="008555B6"/>
    <w:rsid w:val="00860165"/>
    <w:rsid w:val="00860FB3"/>
    <w:rsid w:val="00871F0E"/>
    <w:rsid w:val="008804F8"/>
    <w:rsid w:val="008A0185"/>
    <w:rsid w:val="008A05FF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7847"/>
    <w:rsid w:val="009B5C96"/>
    <w:rsid w:val="009D00D2"/>
    <w:rsid w:val="009D7FD6"/>
    <w:rsid w:val="009E122F"/>
    <w:rsid w:val="009E7CB7"/>
    <w:rsid w:val="00A055F1"/>
    <w:rsid w:val="00A06F09"/>
    <w:rsid w:val="00A42E03"/>
    <w:rsid w:val="00A44ED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D5FA8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61622"/>
    <w:rsid w:val="00D852D5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6265"/>
    <w:rsid w:val="00E418EA"/>
    <w:rsid w:val="00E43A35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5</cp:revision>
  <dcterms:created xsi:type="dcterms:W3CDTF">2019-05-17T07:13:00Z</dcterms:created>
  <dcterms:modified xsi:type="dcterms:W3CDTF">2019-05-17T07:41:00Z</dcterms:modified>
</cp:coreProperties>
</file>