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3EBAB0" w14:textId="63064D4F" w:rsidR="00662AEB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431B1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4E50DA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C431B1">
        <w:rPr>
          <w:rFonts w:ascii="Arial" w:eastAsia="Arial" w:hAnsi="Arial" w:cs="Arial"/>
          <w:b/>
          <w:sz w:val="32"/>
          <w:szCs w:val="24"/>
        </w:rPr>
        <w:t xml:space="preserve">Report on the </w:t>
      </w:r>
      <w:r w:rsidR="004E50DA">
        <w:rPr>
          <w:rFonts w:ascii="Arial" w:eastAsia="Arial" w:hAnsi="Arial" w:cs="Arial"/>
          <w:b/>
          <w:sz w:val="32"/>
          <w:szCs w:val="24"/>
        </w:rPr>
        <w:t>Social Disorganization (</w:t>
      </w:r>
      <w:r w:rsidR="000B0E53">
        <w:rPr>
          <w:rFonts w:ascii="Arial" w:eastAsia="Arial" w:hAnsi="Arial" w:cs="Arial"/>
          <w:b/>
          <w:sz w:val="32"/>
          <w:szCs w:val="24"/>
        </w:rPr>
        <w:t>Human Induced Incident</w:t>
      </w:r>
      <w:r w:rsidR="004E50DA">
        <w:rPr>
          <w:rFonts w:ascii="Arial" w:eastAsia="Arial" w:hAnsi="Arial" w:cs="Arial"/>
          <w:b/>
          <w:sz w:val="32"/>
          <w:szCs w:val="24"/>
        </w:rPr>
        <w:t>)</w:t>
      </w:r>
      <w:r w:rsidRPr="00C431B1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81A1A5A" w14:textId="7A6A743A" w:rsidR="0077218D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C431B1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C431B1">
        <w:rPr>
          <w:rFonts w:ascii="Arial" w:eastAsia="Arial" w:hAnsi="Arial" w:cs="Arial"/>
          <w:b/>
          <w:sz w:val="32"/>
          <w:szCs w:val="24"/>
        </w:rPr>
        <w:t xml:space="preserve"> </w:t>
      </w:r>
      <w:r w:rsidR="000B0E53">
        <w:rPr>
          <w:rFonts w:ascii="Arial" w:eastAsia="Arial" w:hAnsi="Arial" w:cs="Arial"/>
          <w:b/>
          <w:sz w:val="32"/>
          <w:szCs w:val="24"/>
        </w:rPr>
        <w:t>San Jose, Occidental Mindoro</w:t>
      </w:r>
    </w:p>
    <w:p w14:paraId="5643A86C" w14:textId="242F376A" w:rsidR="00B3139B" w:rsidRDefault="004E50DA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23 </w:t>
      </w:r>
      <w:r w:rsidR="00924CB0">
        <w:rPr>
          <w:rFonts w:ascii="Arial" w:eastAsia="Arial" w:hAnsi="Arial" w:cs="Arial"/>
          <w:sz w:val="24"/>
          <w:szCs w:val="24"/>
        </w:rPr>
        <w:t>April</w:t>
      </w:r>
      <w:r w:rsidR="0077218D" w:rsidRPr="00C431B1">
        <w:rPr>
          <w:rFonts w:ascii="Arial" w:eastAsia="Arial" w:hAnsi="Arial" w:cs="Arial"/>
          <w:sz w:val="24"/>
          <w:szCs w:val="24"/>
        </w:rPr>
        <w:t xml:space="preserve"> 2019, </w:t>
      </w:r>
      <w:r>
        <w:rPr>
          <w:rFonts w:ascii="Arial" w:eastAsia="Arial" w:hAnsi="Arial" w:cs="Arial"/>
          <w:sz w:val="24"/>
          <w:szCs w:val="24"/>
        </w:rPr>
        <w:t>6A</w:t>
      </w:r>
      <w:r w:rsidR="0077218D" w:rsidRPr="00C431B1">
        <w:rPr>
          <w:rFonts w:ascii="Arial" w:eastAsia="Arial" w:hAnsi="Arial" w:cs="Arial"/>
          <w:sz w:val="24"/>
          <w:szCs w:val="24"/>
        </w:rPr>
        <w:t>M</w:t>
      </w:r>
    </w:p>
    <w:p w14:paraId="1EF228B2" w14:textId="77777777" w:rsidR="00B3139B" w:rsidRDefault="00B3139B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1B1F6854" w:rsidR="00D10EA4" w:rsidRPr="00B3139B" w:rsidRDefault="00D10EA4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C431B1" w:rsidRDefault="00796AC1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80F002" w14:textId="0E1E7D20" w:rsidR="005A10C2" w:rsidRPr="00C431B1" w:rsidRDefault="0001783A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is the final report on the social disorganization (human induced incident) that took place in </w:t>
      </w:r>
      <w:proofErr w:type="spellStart"/>
      <w:r w:rsidR="00AA2109">
        <w:rPr>
          <w:rFonts w:ascii="Arial" w:eastAsia="Arial" w:hAnsi="Arial" w:cs="Arial"/>
          <w:sz w:val="24"/>
          <w:szCs w:val="24"/>
        </w:rPr>
        <w:t>Brgy</w:t>
      </w:r>
      <w:proofErr w:type="spellEnd"/>
      <w:r w:rsidR="00AA2109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AA2109">
        <w:rPr>
          <w:rFonts w:ascii="Arial" w:eastAsia="Arial" w:hAnsi="Arial" w:cs="Arial"/>
          <w:sz w:val="24"/>
          <w:szCs w:val="24"/>
        </w:rPr>
        <w:t>Naibuan</w:t>
      </w:r>
      <w:proofErr w:type="spellEnd"/>
      <w:r w:rsidR="00AA2109">
        <w:rPr>
          <w:rFonts w:ascii="Arial" w:eastAsia="Arial" w:hAnsi="Arial" w:cs="Arial"/>
          <w:sz w:val="24"/>
          <w:szCs w:val="24"/>
        </w:rPr>
        <w:t xml:space="preserve">, San Jose, Occidental Mindoro </w:t>
      </w:r>
      <w:r>
        <w:rPr>
          <w:rFonts w:ascii="Arial" w:eastAsia="Arial" w:hAnsi="Arial" w:cs="Arial"/>
          <w:sz w:val="24"/>
          <w:szCs w:val="24"/>
        </w:rPr>
        <w:t>on 16 April 2019.</w:t>
      </w:r>
      <w:r w:rsidR="00DB0F8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incident has resulted to a distraught in the nearby community especially to the Indigenous People.</w:t>
      </w:r>
    </w:p>
    <w:p w14:paraId="467273DE" w14:textId="77777777" w:rsidR="00AA2109" w:rsidRDefault="00AA2109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CC162C2" w14:textId="100261E6" w:rsidR="00FA639D" w:rsidRDefault="00BD1919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2109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4252BFCE" w14:textId="77777777" w:rsidR="00B3139B" w:rsidRPr="00B3139B" w:rsidRDefault="00B3139B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F22E94" w14:textId="77777777" w:rsidR="00BB7248" w:rsidRPr="00C431B1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55D808A9" w:rsidR="00CA73C9" w:rsidRPr="00C431B1" w:rsidRDefault="00375AE7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</w:t>
      </w:r>
      <w:r w:rsidRPr="0001783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total of </w:t>
      </w:r>
      <w:r w:rsidR="00AA2109" w:rsidRPr="0001783A">
        <w:rPr>
          <w:rFonts w:ascii="Arial" w:hAnsi="Arial" w:cs="Arial"/>
          <w:b/>
          <w:bCs/>
          <w:sz w:val="24"/>
          <w:szCs w:val="24"/>
          <w:shd w:val="clear" w:color="auto" w:fill="FFFFFF"/>
        </w:rPr>
        <w:t>49</w:t>
      </w:r>
      <w:r w:rsidR="00CA73C9" w:rsidRPr="0001783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CA73C9" w:rsidRPr="0001783A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AA2109" w:rsidRPr="0001783A">
        <w:rPr>
          <w:rFonts w:ascii="Arial" w:hAnsi="Arial" w:cs="Arial"/>
          <w:b/>
          <w:bCs/>
          <w:sz w:val="24"/>
          <w:szCs w:val="24"/>
          <w:shd w:val="clear" w:color="auto" w:fill="FFFFFF"/>
        </w:rPr>
        <w:t>277</w:t>
      </w:r>
      <w:r w:rsidR="00CA73C9" w:rsidRPr="0001783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CA73C9" w:rsidRPr="0001783A">
        <w:rPr>
          <w:rFonts w:ascii="Arial" w:hAnsi="Arial" w:cs="Arial"/>
          <w:sz w:val="24"/>
          <w:szCs w:val="24"/>
          <w:shd w:val="clear" w:color="auto" w:fill="FFFFFF"/>
        </w:rPr>
        <w:t xml:space="preserve"> were affected by </w:t>
      </w:r>
      <w:r w:rsidR="0001783A">
        <w:rPr>
          <w:rFonts w:ascii="Arial" w:hAnsi="Arial" w:cs="Arial"/>
          <w:sz w:val="24"/>
          <w:szCs w:val="24"/>
          <w:shd w:val="clear" w:color="auto" w:fill="FFFFFF"/>
        </w:rPr>
        <w:t>the social disorganization</w:t>
      </w:r>
      <w:r w:rsidR="00AA2109" w:rsidRPr="0001783A">
        <w:rPr>
          <w:rFonts w:ascii="Arial" w:hAnsi="Arial" w:cs="Arial"/>
          <w:sz w:val="24"/>
          <w:szCs w:val="24"/>
          <w:shd w:val="clear" w:color="auto" w:fill="FFFFFF"/>
        </w:rPr>
        <w:t xml:space="preserve"> in</w:t>
      </w:r>
      <w:r w:rsidR="00796AC1" w:rsidRPr="000178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A2109" w:rsidRPr="0001783A">
        <w:rPr>
          <w:rFonts w:ascii="Arial" w:hAnsi="Arial" w:cs="Arial"/>
          <w:b/>
          <w:sz w:val="24"/>
          <w:szCs w:val="24"/>
          <w:shd w:val="clear" w:color="auto" w:fill="FFFFFF"/>
        </w:rPr>
        <w:t>Brgy</w:t>
      </w:r>
      <w:proofErr w:type="spellEnd"/>
      <w:r w:rsidR="00AA2109" w:rsidRPr="0001783A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proofErr w:type="spellStart"/>
      <w:r w:rsidR="00AA2109" w:rsidRPr="0001783A">
        <w:rPr>
          <w:rFonts w:ascii="Arial" w:hAnsi="Arial" w:cs="Arial"/>
          <w:b/>
          <w:sz w:val="24"/>
          <w:szCs w:val="24"/>
          <w:shd w:val="clear" w:color="auto" w:fill="FFFFFF"/>
        </w:rPr>
        <w:t>Naibuan</w:t>
      </w:r>
      <w:proofErr w:type="spellEnd"/>
      <w:r w:rsidR="00AA2109" w:rsidRPr="0001783A">
        <w:rPr>
          <w:rFonts w:ascii="Arial" w:hAnsi="Arial" w:cs="Arial"/>
          <w:b/>
          <w:sz w:val="24"/>
          <w:szCs w:val="24"/>
          <w:shd w:val="clear" w:color="auto" w:fill="FFFFFF"/>
        </w:rPr>
        <w:t>, San Jose, Occidental Mindoro</w:t>
      </w:r>
      <w:r w:rsidR="00C87850" w:rsidRPr="0001783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A73C9" w:rsidRPr="0001783A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C431B1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3F6532B" w:rsidR="00BE47F2" w:rsidRPr="00C431B1" w:rsidRDefault="00CA73C9" w:rsidP="00C431B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80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1730"/>
        <w:gridCol w:w="1395"/>
        <w:gridCol w:w="1393"/>
      </w:tblGrid>
      <w:tr w:rsidR="00924CB0" w:rsidRPr="00924CB0" w14:paraId="6807930F" w14:textId="77777777" w:rsidTr="00924CB0">
        <w:trPr>
          <w:trHeight w:val="20"/>
        </w:trPr>
        <w:tc>
          <w:tcPr>
            <w:tcW w:w="2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58368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EE1C2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24CB0" w:rsidRPr="00924CB0" w14:paraId="3A1AFE69" w14:textId="77777777" w:rsidTr="00924CB0">
        <w:trPr>
          <w:trHeight w:val="20"/>
        </w:trPr>
        <w:tc>
          <w:tcPr>
            <w:tcW w:w="2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B443C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591C7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67348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171E3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24CB0" w:rsidRPr="00924CB0" w14:paraId="0509385D" w14:textId="77777777" w:rsidTr="00924CB0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07F87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939E7" w14:textId="488EE7D2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F4748" w14:textId="58726489" w:rsidR="00924CB0" w:rsidRPr="00924CB0" w:rsidRDefault="00AA2109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  <w:r w:rsidR="00924CB0"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E7271" w14:textId="6C49339A" w:rsidR="00924CB0" w:rsidRPr="00924CB0" w:rsidRDefault="00AA2109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</w:t>
            </w:r>
          </w:p>
        </w:tc>
      </w:tr>
      <w:tr w:rsidR="00924CB0" w:rsidRPr="00924CB0" w14:paraId="6863761F" w14:textId="77777777" w:rsidTr="00924CB0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3FD0F" w14:textId="24814CBE" w:rsidR="00924CB0" w:rsidRPr="00924CB0" w:rsidRDefault="00924CB0" w:rsidP="00AA21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AA2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MIMAROPA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007E8" w14:textId="5A470F15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C38DB" w14:textId="6AB10750" w:rsidR="00924CB0" w:rsidRPr="00924CB0" w:rsidRDefault="00AA2109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00DB" w14:textId="58DF8A81" w:rsidR="00924CB0" w:rsidRPr="00924CB0" w:rsidRDefault="00AA2109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</w:t>
            </w:r>
          </w:p>
        </w:tc>
      </w:tr>
      <w:tr w:rsidR="00924CB0" w:rsidRPr="00924CB0" w14:paraId="7954E633" w14:textId="77777777" w:rsidTr="00924CB0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775AE" w14:textId="6A09937A" w:rsidR="00924CB0" w:rsidRPr="00924CB0" w:rsidRDefault="00AA2109" w:rsidP="00924C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A6CB3" w14:textId="7BF9036A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8FCB9" w14:textId="039EB4BB" w:rsidR="00924CB0" w:rsidRPr="00924CB0" w:rsidRDefault="00AA2109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41C0C" w14:textId="5147C90D" w:rsidR="00924CB0" w:rsidRPr="00924CB0" w:rsidRDefault="00AA2109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</w:t>
            </w:r>
          </w:p>
        </w:tc>
      </w:tr>
      <w:tr w:rsidR="00924CB0" w:rsidRPr="00924CB0" w14:paraId="46597FE0" w14:textId="77777777" w:rsidTr="00924CB0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3C6DD" w14:textId="1914468C" w:rsidR="00924CB0" w:rsidRPr="00924CB0" w:rsidRDefault="00AA2109" w:rsidP="00924CB0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0DF4F" w14:textId="32CAC1C2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3A4B4" w14:textId="6A5589EE" w:rsidR="00924CB0" w:rsidRPr="00924CB0" w:rsidRDefault="00AA2109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26069" w14:textId="0C4FC19C" w:rsidR="00924CB0" w:rsidRPr="00924CB0" w:rsidRDefault="00AA2109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277</w:t>
            </w:r>
          </w:p>
        </w:tc>
      </w:tr>
    </w:tbl>
    <w:p w14:paraId="5A1C90F8" w14:textId="77777777" w:rsidR="001334EE" w:rsidRDefault="001334EE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E427FE" w14:textId="5E77C282" w:rsidR="0077218D" w:rsidRPr="00C431B1" w:rsidRDefault="0077218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2109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122E2DD3" w14:textId="77777777" w:rsidR="00BE47F2" w:rsidRPr="00C431B1" w:rsidRDefault="00BE47F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FCC86B0" w14:textId="715A0676" w:rsidR="00BB7248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25B6D07C" w14:textId="77777777" w:rsidR="00855B99" w:rsidRPr="00C431B1" w:rsidRDefault="00855B99" w:rsidP="00855B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38BE0C4" w14:textId="42B2E22E" w:rsidR="00475561" w:rsidRPr="00855B99" w:rsidRDefault="0001783A" w:rsidP="00855B9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1783A">
        <w:rPr>
          <w:rFonts w:ascii="Arial" w:eastAsia="Arial" w:hAnsi="Arial" w:cs="Arial"/>
          <w:sz w:val="24"/>
          <w:szCs w:val="24"/>
        </w:rPr>
        <w:t>The</w:t>
      </w:r>
      <w:r w:rsidR="0077218D" w:rsidRPr="0001783A">
        <w:rPr>
          <w:rFonts w:ascii="Arial" w:eastAsia="Arial" w:hAnsi="Arial" w:cs="Arial"/>
          <w:sz w:val="24"/>
          <w:szCs w:val="24"/>
        </w:rPr>
        <w:t xml:space="preserve"> </w:t>
      </w:r>
      <w:r w:rsidR="00AA2109" w:rsidRPr="0001783A">
        <w:rPr>
          <w:rFonts w:ascii="Arial" w:eastAsia="Arial" w:hAnsi="Arial" w:cs="Arial"/>
          <w:b/>
          <w:sz w:val="24"/>
          <w:szCs w:val="24"/>
        </w:rPr>
        <w:t>50</w:t>
      </w:r>
      <w:r w:rsidR="0077218D" w:rsidRPr="0001783A">
        <w:rPr>
          <w:rFonts w:ascii="Arial" w:eastAsia="Arial" w:hAnsi="Arial" w:cs="Arial"/>
          <w:b/>
          <w:sz w:val="24"/>
          <w:szCs w:val="24"/>
        </w:rPr>
        <w:t xml:space="preserve"> </w:t>
      </w:r>
      <w:r w:rsidR="00D62232">
        <w:rPr>
          <w:rFonts w:ascii="Arial" w:eastAsia="Arial" w:hAnsi="Arial" w:cs="Arial"/>
          <w:b/>
          <w:sz w:val="24"/>
          <w:szCs w:val="24"/>
        </w:rPr>
        <w:t>household</w:t>
      </w:r>
      <w:r w:rsidR="00AA2109" w:rsidRPr="0001783A">
        <w:rPr>
          <w:rFonts w:ascii="Arial" w:eastAsia="Arial" w:hAnsi="Arial" w:cs="Arial"/>
          <w:b/>
          <w:sz w:val="24"/>
          <w:szCs w:val="24"/>
        </w:rPr>
        <w:t xml:space="preserve"> heads</w:t>
      </w:r>
      <w:r w:rsidR="0077218D" w:rsidRPr="0001783A">
        <w:rPr>
          <w:rFonts w:ascii="Arial" w:eastAsia="Arial" w:hAnsi="Arial" w:cs="Arial"/>
          <w:sz w:val="24"/>
          <w:szCs w:val="24"/>
        </w:rPr>
        <w:t xml:space="preserve"> who </w:t>
      </w:r>
      <w:r w:rsidR="003902B0">
        <w:rPr>
          <w:rFonts w:ascii="Arial" w:eastAsia="Arial" w:hAnsi="Arial" w:cs="Arial"/>
          <w:sz w:val="24"/>
          <w:szCs w:val="24"/>
        </w:rPr>
        <w:t>stayed</w:t>
      </w:r>
      <w:r w:rsidR="0077218D" w:rsidRPr="0001783A">
        <w:rPr>
          <w:rFonts w:ascii="Arial" w:eastAsia="Arial" w:hAnsi="Arial" w:cs="Arial"/>
          <w:sz w:val="24"/>
          <w:szCs w:val="24"/>
        </w:rPr>
        <w:t xml:space="preserve"> at </w:t>
      </w:r>
      <w:r w:rsidR="0077218D" w:rsidRPr="003902B0">
        <w:rPr>
          <w:rFonts w:ascii="Arial" w:eastAsia="Arial" w:hAnsi="Arial" w:cs="Arial"/>
          <w:sz w:val="24"/>
          <w:szCs w:val="24"/>
        </w:rPr>
        <w:t>the</w:t>
      </w:r>
      <w:r w:rsidR="0077218D" w:rsidRPr="0001783A">
        <w:rPr>
          <w:rFonts w:ascii="Arial" w:eastAsia="Arial" w:hAnsi="Arial" w:cs="Arial"/>
          <w:b/>
          <w:sz w:val="24"/>
          <w:szCs w:val="24"/>
        </w:rPr>
        <w:t xml:space="preserve"> </w:t>
      </w:r>
      <w:r w:rsidR="00AA2109" w:rsidRPr="0001783A">
        <w:rPr>
          <w:rFonts w:ascii="Arial" w:eastAsia="Arial" w:hAnsi="Arial" w:cs="Arial"/>
          <w:b/>
          <w:sz w:val="24"/>
          <w:szCs w:val="24"/>
        </w:rPr>
        <w:t>Bravo Company TCP</w:t>
      </w:r>
      <w:r w:rsidRPr="0001783A">
        <w:rPr>
          <w:rFonts w:ascii="Arial" w:eastAsia="Arial" w:hAnsi="Arial" w:cs="Arial"/>
          <w:sz w:val="24"/>
          <w:szCs w:val="24"/>
        </w:rPr>
        <w:t xml:space="preserve"> have already returned to their respective houses</w:t>
      </w:r>
      <w:r w:rsidR="00AA2109">
        <w:rPr>
          <w:rFonts w:ascii="Arial" w:eastAsia="Arial" w:hAnsi="Arial" w:cs="Arial"/>
          <w:sz w:val="24"/>
          <w:szCs w:val="24"/>
        </w:rPr>
        <w:t xml:space="preserve"> </w:t>
      </w:r>
      <w:r w:rsidR="00BB7248" w:rsidRPr="00855B99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32FFF6A1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D126F22" w14:textId="5C1F2CA1" w:rsidR="0077218D" w:rsidRPr="00C431B1" w:rsidRDefault="005A10C2" w:rsidP="00CC2E2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2.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Pr="00C431B1">
        <w:rPr>
          <w:rFonts w:ascii="Arial" w:eastAsia="Arial" w:hAnsi="Arial" w:cs="Arial"/>
          <w:b/>
          <w:i/>
          <w:sz w:val="20"/>
          <w:szCs w:val="24"/>
        </w:rPr>
        <w:t xml:space="preserve">Displaced 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>Families / Persons Inside Evacuation Center</w:t>
      </w:r>
    </w:p>
    <w:tbl>
      <w:tblPr>
        <w:tblW w:w="4779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912"/>
        <w:gridCol w:w="1026"/>
        <w:gridCol w:w="872"/>
        <w:gridCol w:w="872"/>
        <w:gridCol w:w="872"/>
        <w:gridCol w:w="875"/>
      </w:tblGrid>
      <w:tr w:rsidR="00855B99" w:rsidRPr="00855B99" w14:paraId="200EA499" w14:textId="77777777" w:rsidTr="00B3139B">
        <w:trPr>
          <w:trHeight w:val="20"/>
        </w:trPr>
        <w:tc>
          <w:tcPr>
            <w:tcW w:w="20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FFC47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E0B6D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95A6B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55B99" w:rsidRPr="00855B99" w14:paraId="7981EA43" w14:textId="77777777" w:rsidTr="00B3139B">
        <w:trPr>
          <w:trHeight w:val="20"/>
        </w:trPr>
        <w:tc>
          <w:tcPr>
            <w:tcW w:w="20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B1B8D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CDEF7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2958E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02AAD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55B99" w:rsidRPr="00855B99" w14:paraId="454E9965" w14:textId="77777777" w:rsidTr="00B3139B">
        <w:trPr>
          <w:trHeight w:val="20"/>
        </w:trPr>
        <w:tc>
          <w:tcPr>
            <w:tcW w:w="20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50E1F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B5F74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9B4B6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6A694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12401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0298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5EF4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55B99" w:rsidRPr="00855B99" w14:paraId="1997C3FE" w14:textId="77777777" w:rsidTr="00855B99">
        <w:trPr>
          <w:trHeight w:val="20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AA40C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433D4" w14:textId="4A3D0888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53332" w14:textId="7F777CF2" w:rsidR="00855B99" w:rsidRPr="00855B99" w:rsidRDefault="0001783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855B99"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9BD35" w14:textId="19A8EF27" w:rsidR="00855B99" w:rsidRPr="00855B99" w:rsidRDefault="00855B99" w:rsidP="00AA21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A2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C955D" w14:textId="64B9A226" w:rsidR="00855B99" w:rsidRPr="00855B99" w:rsidRDefault="00AA210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AD50B" w14:textId="3B695649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BF30C" w14:textId="1C23585F" w:rsidR="00855B99" w:rsidRPr="00855B99" w:rsidRDefault="0001783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5B99" w:rsidRPr="00855B99" w14:paraId="2D8E39ED" w14:textId="77777777" w:rsidTr="00855B99">
        <w:trPr>
          <w:trHeight w:val="20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69654" w14:textId="2CDF52E6" w:rsidR="00855B99" w:rsidRPr="00855B99" w:rsidRDefault="00855B99" w:rsidP="00AA21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AA2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2080F" w14:textId="047C0197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BDE85" w14:textId="4CDFB30E" w:rsidR="00855B99" w:rsidRPr="00855B99" w:rsidRDefault="0001783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48190" w14:textId="742B69D6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855B99"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B44B6" w14:textId="43EA5CA9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7B3F7" w14:textId="1E34941F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FC6E6" w14:textId="35FEBA29" w:rsidR="00855B99" w:rsidRPr="00855B99" w:rsidRDefault="0001783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5B99" w:rsidRPr="00855B99" w14:paraId="733E2B12" w14:textId="77777777" w:rsidTr="00855B99">
        <w:trPr>
          <w:trHeight w:val="20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100CE" w14:textId="4967AC8C" w:rsidR="00855B99" w:rsidRPr="00855B99" w:rsidRDefault="00AA210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8B227" w14:textId="4F65994E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781C5" w14:textId="7BC4FD19" w:rsidR="00855B99" w:rsidRPr="00855B99" w:rsidRDefault="0001783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A494B" w14:textId="24014206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A9D36" w14:textId="68323B48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DE7B9" w14:textId="63502063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F8C81" w14:textId="496E478C" w:rsidR="00855B99" w:rsidRPr="00855B99" w:rsidRDefault="0001783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5B99" w:rsidRPr="00855B99" w14:paraId="6E771189" w14:textId="77777777" w:rsidTr="00855B99">
        <w:trPr>
          <w:trHeight w:val="20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CADC0" w14:textId="7A156E2C" w:rsidR="00855B99" w:rsidRPr="00855B99" w:rsidRDefault="00AA2109" w:rsidP="00855B99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28E18" w14:textId="24919426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2058F" w14:textId="090F6F00" w:rsidR="00855B99" w:rsidRPr="00855B99" w:rsidRDefault="0001783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C2CCC" w14:textId="5308B0F7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F4CAC" w14:textId="4EFE29A4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D5607" w14:textId="484352B2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A0177" w14:textId="271408D4" w:rsidR="00855B99" w:rsidRPr="00855B99" w:rsidRDefault="0001783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</w:tbl>
    <w:p w14:paraId="14F2671E" w14:textId="77777777" w:rsidR="001334EE" w:rsidRDefault="001334EE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FF68D9" w14:textId="1158E73B" w:rsidR="00BB7248" w:rsidRDefault="0077218D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855B99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B4AA7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38275C48" w14:textId="77777777" w:rsidR="001334EE" w:rsidRDefault="001334EE" w:rsidP="00DB0F8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0C1550" w14:textId="77777777" w:rsidR="001334EE" w:rsidRPr="00855B99" w:rsidRDefault="001334EE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8135C15" w14:textId="3427B9CB" w:rsidR="005A10C2" w:rsidRDefault="0001783A" w:rsidP="00855B9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A4037">
        <w:rPr>
          <w:rFonts w:ascii="Arial" w:eastAsia="Arial" w:hAnsi="Arial" w:cs="Arial"/>
          <w:sz w:val="24"/>
          <w:szCs w:val="24"/>
        </w:rPr>
        <w:t>As per coordination</w:t>
      </w:r>
      <w:r w:rsidR="007A4037" w:rsidRPr="007A4037">
        <w:rPr>
          <w:rFonts w:ascii="Arial" w:eastAsia="Arial" w:hAnsi="Arial" w:cs="Arial"/>
          <w:sz w:val="24"/>
          <w:szCs w:val="24"/>
        </w:rPr>
        <w:t xml:space="preserve"> with the Armed Forces of </w:t>
      </w:r>
      <w:r w:rsidR="007A4037">
        <w:rPr>
          <w:rFonts w:ascii="Arial" w:eastAsia="Arial" w:hAnsi="Arial" w:cs="Arial"/>
          <w:sz w:val="24"/>
          <w:szCs w:val="24"/>
        </w:rPr>
        <w:t xml:space="preserve">the Philippines through the SWADT Occidental Mindoro, it has been confirmed that the area of </w:t>
      </w:r>
      <w:proofErr w:type="spellStart"/>
      <w:r w:rsidR="007A4037">
        <w:rPr>
          <w:rFonts w:ascii="Arial" w:eastAsia="Arial" w:hAnsi="Arial" w:cs="Arial"/>
          <w:sz w:val="24"/>
          <w:szCs w:val="24"/>
        </w:rPr>
        <w:t>Brgy</w:t>
      </w:r>
      <w:proofErr w:type="spellEnd"/>
      <w:r w:rsidR="007A4037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7A4037">
        <w:rPr>
          <w:rFonts w:ascii="Arial" w:eastAsia="Arial" w:hAnsi="Arial" w:cs="Arial"/>
          <w:sz w:val="24"/>
          <w:szCs w:val="24"/>
        </w:rPr>
        <w:t>Naibuan</w:t>
      </w:r>
      <w:proofErr w:type="spellEnd"/>
      <w:r w:rsidR="007A4037">
        <w:rPr>
          <w:rFonts w:ascii="Arial" w:eastAsia="Arial" w:hAnsi="Arial" w:cs="Arial"/>
          <w:sz w:val="24"/>
          <w:szCs w:val="24"/>
        </w:rPr>
        <w:t xml:space="preserve"> is already safe for the people in the community</w:t>
      </w:r>
      <w:r w:rsidR="00331AB1" w:rsidRPr="00855B9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A10C2" w:rsidRPr="00855B99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 w:rsidR="00331AB1" w:rsidRPr="00855B99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5A10C2" w:rsidRPr="00855B99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639BE955" w14:textId="77777777" w:rsidR="00DB0F84" w:rsidRDefault="00DB0F84" w:rsidP="00DB0F8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8B330D2" w14:textId="77777777" w:rsidR="00DB0F84" w:rsidRDefault="00DB0F84" w:rsidP="00DB0F8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D649A1E" w14:textId="77777777" w:rsidR="00DB0F84" w:rsidRDefault="00DB0F84" w:rsidP="00DB0F8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77942B9" w14:textId="77777777" w:rsidR="00DB0F84" w:rsidRPr="00DB0F84" w:rsidRDefault="00DB0F84" w:rsidP="00DB0F8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BDD4273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B6E58DE" w14:textId="42589873" w:rsidR="00CA73C9" w:rsidRPr="00C431B1" w:rsidRDefault="00331AB1" w:rsidP="003326EE">
      <w:pPr>
        <w:spacing w:after="0" w:line="240" w:lineRule="auto"/>
        <w:ind w:firstLine="34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lastRenderedPageBreak/>
        <w:t>Table 3.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="005707CE" w:rsidRPr="00C431B1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Families / Persons </w:t>
      </w:r>
      <w:r w:rsidR="0094182F" w:rsidRPr="00C431B1">
        <w:rPr>
          <w:rFonts w:ascii="Arial" w:eastAsia="Arial" w:hAnsi="Arial" w:cs="Arial"/>
          <w:b/>
          <w:i/>
          <w:sz w:val="20"/>
          <w:szCs w:val="24"/>
        </w:rPr>
        <w:t>Outside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 w:rsidRPr="00C431B1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852" w:type="pct"/>
        <w:tblInd w:w="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1055"/>
        <w:gridCol w:w="1059"/>
        <w:gridCol w:w="1225"/>
        <w:gridCol w:w="1223"/>
      </w:tblGrid>
      <w:tr w:rsidR="00855B99" w:rsidRPr="00855B99" w14:paraId="4A3DC85C" w14:textId="77777777" w:rsidTr="00855B99">
        <w:trPr>
          <w:trHeight w:val="20"/>
        </w:trPr>
        <w:tc>
          <w:tcPr>
            <w:tcW w:w="2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ABBAF" w14:textId="795FC342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F05C8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55B99" w:rsidRPr="00855B99" w14:paraId="4A27DE25" w14:textId="77777777" w:rsidTr="00855B99">
        <w:trPr>
          <w:trHeight w:val="20"/>
        </w:trPr>
        <w:tc>
          <w:tcPr>
            <w:tcW w:w="2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91C21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902EA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1BE8B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55B99" w:rsidRPr="00855B99" w14:paraId="62CF07A0" w14:textId="77777777" w:rsidTr="00855B99">
        <w:trPr>
          <w:trHeight w:val="20"/>
        </w:trPr>
        <w:tc>
          <w:tcPr>
            <w:tcW w:w="2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210D2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C5141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62C51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EE316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A9DA7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55B99" w:rsidRPr="00855B99" w14:paraId="054AE23C" w14:textId="77777777" w:rsidTr="00855B99">
        <w:trPr>
          <w:trHeight w:val="20"/>
        </w:trPr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FE28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429E9" w14:textId="27A326F4" w:rsidR="00855B99" w:rsidRPr="00855B99" w:rsidRDefault="00855B99" w:rsidP="009B4A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B4A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8A045" w14:textId="3D7C2608" w:rsidR="00855B99" w:rsidRPr="00855B99" w:rsidRDefault="0001783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93BA0" w14:textId="7CE582FA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14AAF" w14:textId="4DCD2079" w:rsidR="00855B99" w:rsidRPr="00855B99" w:rsidRDefault="0001783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5B99" w:rsidRPr="00855B99" w14:paraId="7ADFD7EC" w14:textId="77777777" w:rsidTr="00855B99">
        <w:trPr>
          <w:trHeight w:val="20"/>
        </w:trPr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5D64A" w14:textId="0B9F56AA" w:rsidR="00855B99" w:rsidRPr="00855B99" w:rsidRDefault="00855B99" w:rsidP="009B4A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9B4A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A9B17" w14:textId="00F14035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CA2C2" w14:textId="7470FD62" w:rsidR="00855B99" w:rsidRPr="00855B99" w:rsidRDefault="0001783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CF1C6" w14:textId="1C72AAEF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4182A" w14:textId="2988F609" w:rsidR="00855B99" w:rsidRPr="00855B99" w:rsidRDefault="0001783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5B99" w:rsidRPr="00855B99" w14:paraId="36A64C9A" w14:textId="77777777" w:rsidTr="00855B99">
        <w:trPr>
          <w:trHeight w:val="20"/>
        </w:trPr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B82AD" w14:textId="3969429B" w:rsidR="00855B99" w:rsidRPr="00855B99" w:rsidRDefault="009B4AA7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1101F" w14:textId="15FBCB41" w:rsidR="00855B99" w:rsidRPr="00855B99" w:rsidRDefault="00855B99" w:rsidP="009B4A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B4A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4570C" w14:textId="4B29FC6D" w:rsidR="00855B99" w:rsidRPr="00855B99" w:rsidRDefault="0001783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C1C69" w14:textId="54EB737F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AB2B4" w14:textId="51CB5CD0" w:rsidR="00855B99" w:rsidRPr="00855B99" w:rsidRDefault="0001783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5B99" w:rsidRPr="00855B99" w14:paraId="26D61543" w14:textId="77777777" w:rsidTr="00855B99">
        <w:trPr>
          <w:trHeight w:val="20"/>
        </w:trPr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9DC1F" w14:textId="571D7527" w:rsidR="00855B99" w:rsidRPr="00855B99" w:rsidRDefault="009B4AA7" w:rsidP="00855B99">
            <w:pPr>
              <w:spacing w:after="0" w:line="240" w:lineRule="auto"/>
              <w:ind w:left="131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E7B35" w14:textId="30244860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99A50" w14:textId="05B3C876" w:rsidR="00855B99" w:rsidRPr="00855B99" w:rsidRDefault="0001783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1C4C8" w14:textId="62CF9727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6FEB4" w14:textId="62F02C9C" w:rsidR="00855B99" w:rsidRPr="00855B99" w:rsidRDefault="0001783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</w:tbl>
    <w:p w14:paraId="3F9A9220" w14:textId="77777777" w:rsidR="001334EE" w:rsidRDefault="001334EE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B0B5B0B" w14:textId="01566175" w:rsidR="00312516" w:rsidRDefault="009B4AA7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MIMAROPA</w:t>
      </w:r>
    </w:p>
    <w:p w14:paraId="2630EEEA" w14:textId="77777777" w:rsidR="003902B0" w:rsidRDefault="003902B0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C3D1A98" w14:textId="77777777" w:rsidR="00A4176F" w:rsidRPr="00C431B1" w:rsidRDefault="00A4176F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C406604" w14:textId="14CD779B" w:rsidR="0070366A" w:rsidRPr="00C431B1" w:rsidRDefault="0070366A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4CCD3DA" w14:textId="44728D86" w:rsidR="006128E3" w:rsidRPr="00C431B1" w:rsidRDefault="0070366A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A15C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902B0">
        <w:rPr>
          <w:rFonts w:ascii="Arial" w:eastAsia="Arial" w:hAnsi="Arial" w:cs="Arial"/>
          <w:b/>
          <w:color w:val="0070C0"/>
          <w:sz w:val="24"/>
          <w:szCs w:val="24"/>
        </w:rPr>
        <w:t>42,592</w:t>
      </w:r>
      <w:r w:rsidR="00A15CC7" w:rsidRPr="00A15CC7">
        <w:rPr>
          <w:rFonts w:ascii="Arial" w:eastAsia="Arial" w:hAnsi="Arial" w:cs="Arial"/>
          <w:b/>
          <w:color w:val="0070C0"/>
          <w:sz w:val="24"/>
          <w:szCs w:val="24"/>
        </w:rPr>
        <w:t xml:space="preserve">.00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</w:t>
      </w:r>
      <w:r w:rsidR="006128E3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by </w:t>
      </w:r>
      <w:r w:rsidR="009B4AA7">
        <w:rPr>
          <w:rFonts w:ascii="Arial" w:eastAsia="Arial" w:hAnsi="Arial" w:cs="Arial"/>
          <w:color w:val="000000" w:themeColor="text1"/>
          <w:sz w:val="24"/>
          <w:szCs w:val="24"/>
        </w:rPr>
        <w:t xml:space="preserve">the DSWD and </w:t>
      </w:r>
      <w:r w:rsidR="00A15CC7">
        <w:rPr>
          <w:rFonts w:ascii="Arial" w:eastAsia="Arial" w:hAnsi="Arial" w:cs="Arial"/>
          <w:color w:val="000000" w:themeColor="text1"/>
          <w:sz w:val="24"/>
          <w:szCs w:val="24"/>
        </w:rPr>
        <w:t>LGU</w:t>
      </w:r>
      <w:r w:rsidR="006128E3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 to the affected families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(see Table 4).</w:t>
      </w:r>
    </w:p>
    <w:p w14:paraId="765F3864" w14:textId="77777777" w:rsidR="00C431B1" w:rsidRPr="00C431B1" w:rsidRDefault="00C431B1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D90678" w14:textId="7C7AAC1C" w:rsidR="006128E3" w:rsidRPr="006128E3" w:rsidRDefault="006128E3" w:rsidP="00C431B1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C431B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</w:t>
      </w:r>
      <w:r w:rsidRPr="006128E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able 4. Cost of Assistance Provided to Affected Families / Persons</w:t>
      </w:r>
    </w:p>
    <w:tbl>
      <w:tblPr>
        <w:tblW w:w="4776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1530"/>
        <w:gridCol w:w="1532"/>
        <w:gridCol w:w="1740"/>
      </w:tblGrid>
      <w:tr w:rsidR="009B4AA7" w:rsidRPr="00A15CC7" w14:paraId="151EC885" w14:textId="77777777" w:rsidTr="009B4AA7">
        <w:trPr>
          <w:trHeight w:val="20"/>
        </w:trPr>
        <w:tc>
          <w:tcPr>
            <w:tcW w:w="2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C93B2" w14:textId="77777777" w:rsidR="009B4AA7" w:rsidRPr="00A15CC7" w:rsidRDefault="009B4AA7" w:rsidP="00B313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</w:tcPr>
          <w:p w14:paraId="595B0D6C" w14:textId="2BD32365" w:rsidR="009B4AA7" w:rsidRPr="00A15CC7" w:rsidRDefault="009B4AA7" w:rsidP="00B313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B4AA7" w:rsidRPr="00A15CC7" w14:paraId="2C9979E9" w14:textId="77777777" w:rsidTr="009B4AA7">
        <w:trPr>
          <w:trHeight w:val="20"/>
        </w:trPr>
        <w:tc>
          <w:tcPr>
            <w:tcW w:w="2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E0D5A" w14:textId="77777777" w:rsidR="009B4AA7" w:rsidRPr="00A15CC7" w:rsidRDefault="009B4AA7" w:rsidP="00B313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</w:tcPr>
          <w:p w14:paraId="5FC2C718" w14:textId="3AF2EF91" w:rsidR="009B4AA7" w:rsidRPr="00A15CC7" w:rsidRDefault="009B4AA7" w:rsidP="00B313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DSWD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610D6" w14:textId="7F043719" w:rsidR="009B4AA7" w:rsidRPr="00A15CC7" w:rsidRDefault="009B4AA7" w:rsidP="00B313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A61DE" w14:textId="77777777" w:rsidR="009B4AA7" w:rsidRPr="00A15CC7" w:rsidRDefault="009B4AA7" w:rsidP="00B313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B4AA7" w:rsidRPr="00A15CC7" w14:paraId="0CE8A64E" w14:textId="77777777" w:rsidTr="009B4AA7">
        <w:trPr>
          <w:trHeight w:val="20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8381A" w14:textId="77777777" w:rsidR="009B4AA7" w:rsidRPr="00A15CC7" w:rsidRDefault="009B4AA7" w:rsidP="00B313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</w:tcPr>
          <w:p w14:paraId="5BC6303C" w14:textId="5D15E3BF" w:rsidR="009B4AA7" w:rsidRPr="00A15CC7" w:rsidRDefault="003902B0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36,802.00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57487" w14:textId="3CC0344B" w:rsidR="009B4AA7" w:rsidRPr="00A15CC7" w:rsidRDefault="003902B0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5,790.00</w:t>
            </w:r>
            <w:r w:rsidR="009B4AA7" w:rsidRPr="00A15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AB544" w14:textId="6D1F7A4C" w:rsidR="009B4AA7" w:rsidRPr="00A15CC7" w:rsidRDefault="003902B0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42,592.00</w:t>
            </w:r>
          </w:p>
        </w:tc>
      </w:tr>
      <w:tr w:rsidR="009B4AA7" w:rsidRPr="00A15CC7" w14:paraId="0EEA0E07" w14:textId="77777777" w:rsidTr="009B4AA7">
        <w:trPr>
          <w:trHeight w:val="20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0C571" w14:textId="3BB6CBA2" w:rsidR="009B4AA7" w:rsidRPr="00A15CC7" w:rsidRDefault="009B4AA7" w:rsidP="009B4A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BFBFBF" w:fill="BFBFBF"/>
          </w:tcPr>
          <w:p w14:paraId="60EA3FCC" w14:textId="6D42C8E2" w:rsidR="009B4AA7" w:rsidRPr="00A15CC7" w:rsidRDefault="003902B0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36,802.00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7188A" w14:textId="6F55201D" w:rsidR="009B4AA7" w:rsidRPr="00A15CC7" w:rsidRDefault="003902B0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5,790.00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DCC0F" w14:textId="4B27921C" w:rsidR="009B4AA7" w:rsidRPr="00A15CC7" w:rsidRDefault="003902B0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42,592.00</w:t>
            </w:r>
          </w:p>
        </w:tc>
        <w:bookmarkStart w:id="1" w:name="_GoBack"/>
        <w:bookmarkEnd w:id="1"/>
      </w:tr>
      <w:tr w:rsidR="009B4AA7" w:rsidRPr="00A15CC7" w14:paraId="34826ED9" w14:textId="77777777" w:rsidTr="009B4AA7">
        <w:trPr>
          <w:trHeight w:val="20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8ED52" w14:textId="4210E5C8" w:rsidR="009B4AA7" w:rsidRPr="00A15CC7" w:rsidRDefault="009B4AA7" w:rsidP="00B313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</w:tcPr>
          <w:p w14:paraId="78C86999" w14:textId="3BAF182D" w:rsidR="009B4AA7" w:rsidRPr="00A15CC7" w:rsidRDefault="003902B0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36,802.00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BEBCC" w14:textId="222AE861" w:rsidR="009B4AA7" w:rsidRPr="00A15CC7" w:rsidRDefault="003902B0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5,790.00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70B8A" w14:textId="1F160070" w:rsidR="009B4AA7" w:rsidRPr="00A15CC7" w:rsidRDefault="009B4AA7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02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42,592.00</w:t>
            </w:r>
          </w:p>
        </w:tc>
      </w:tr>
      <w:tr w:rsidR="009B4AA7" w:rsidRPr="00A15CC7" w14:paraId="589B4769" w14:textId="77777777" w:rsidTr="009B4AA7">
        <w:trPr>
          <w:trHeight w:val="20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A7C2B" w14:textId="366814C6" w:rsidR="009B4AA7" w:rsidRPr="00A15CC7" w:rsidRDefault="009B4AA7" w:rsidP="00A15CC7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3D5DAF" w14:textId="0EDD6F67" w:rsidR="009B4AA7" w:rsidRPr="00A15CC7" w:rsidRDefault="003902B0" w:rsidP="00A15C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02B0">
              <w:rPr>
                <w:rFonts w:ascii="Arial" w:hAnsi="Arial" w:cs="Arial"/>
                <w:i/>
                <w:iCs/>
                <w:sz w:val="20"/>
                <w:szCs w:val="20"/>
              </w:rPr>
              <w:t>36,802.00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A52BE" w14:textId="2D787564" w:rsidR="009B4AA7" w:rsidRPr="00A15CC7" w:rsidRDefault="003902B0" w:rsidP="00A15C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02B0">
              <w:rPr>
                <w:rFonts w:ascii="Arial" w:hAnsi="Arial" w:cs="Arial"/>
                <w:i/>
                <w:iCs/>
                <w:sz w:val="20"/>
                <w:szCs w:val="20"/>
              </w:rPr>
              <w:t>5,790.00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503B0" w14:textId="4D466FD3" w:rsidR="009B4AA7" w:rsidRPr="00A15CC7" w:rsidRDefault="003902B0" w:rsidP="00A15C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02B0">
              <w:rPr>
                <w:rFonts w:ascii="Arial" w:hAnsi="Arial" w:cs="Arial"/>
                <w:i/>
                <w:iCs/>
                <w:sz w:val="20"/>
                <w:szCs w:val="20"/>
              </w:rPr>
              <w:t>42,592.00</w:t>
            </w:r>
          </w:p>
        </w:tc>
      </w:tr>
    </w:tbl>
    <w:p w14:paraId="27E4BD54" w14:textId="77777777" w:rsidR="001334EE" w:rsidRDefault="001334EE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3726470" w14:textId="32D2113F" w:rsidR="00C431B1" w:rsidRPr="00C431B1" w:rsidRDefault="00A15CC7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B4AA7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2E6520FE" w14:textId="50BB75C0" w:rsidR="0070366A" w:rsidRPr="00C431B1" w:rsidRDefault="0070366A" w:rsidP="00C431B1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2A13259" w14:textId="77777777" w:rsidR="006128E3" w:rsidRPr="00C431B1" w:rsidRDefault="006128E3" w:rsidP="00C431B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2374BD6" w:rsidR="001149A2" w:rsidRPr="00C431B1" w:rsidRDefault="001149A2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C01AC28" w14:textId="77777777" w:rsidR="00E97EC4" w:rsidRPr="00C431B1" w:rsidRDefault="00E97EC4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C52CF2C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9B4AA7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5E7E3044" w14:textId="77777777" w:rsidTr="006C6E52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431B1" w14:paraId="15FC88FB" w14:textId="77777777" w:rsidTr="006C6E5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4DD5701" w:rsidR="001149A2" w:rsidRPr="00A15CC7" w:rsidRDefault="00235A46" w:rsidP="008F74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A15CC7"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A15CC7"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41325AFD" w:rsidR="00A15CC7" w:rsidRPr="006C6E52" w:rsidRDefault="00A15CC7" w:rsidP="00235A46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DSWD-FO </w:t>
            </w:r>
            <w:r w:rsidR="00E77C5D">
              <w:rPr>
                <w:rFonts w:ascii="Arial" w:hAnsi="Arial" w:cs="Arial"/>
                <w:color w:val="0070C0"/>
                <w:sz w:val="20"/>
                <w:szCs w:val="20"/>
              </w:rPr>
              <w:t>MIMAROPA</w:t>
            </w:r>
            <w:r w:rsidRPr="00A15CC7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35A46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235A46" w:rsidRPr="00235A46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</w:t>
            </w:r>
            <w:r w:rsidR="00235A46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055FF615" w14:textId="77777777" w:rsidR="00796AC1" w:rsidRPr="00C431B1" w:rsidRDefault="00796AC1" w:rsidP="00A4176F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C431B1" w:rsidRDefault="001149A2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431B1">
        <w:rPr>
          <w:rFonts w:ascii="Arial" w:eastAsia="Arial" w:hAnsi="Arial" w:cs="Arial"/>
          <w:i/>
          <w:sz w:val="20"/>
          <w:szCs w:val="24"/>
        </w:rPr>
        <w:t>*****</w:t>
      </w:r>
    </w:p>
    <w:p w14:paraId="26F720A5" w14:textId="64292C2A" w:rsidR="00312516" w:rsidRPr="00C431B1" w:rsidRDefault="006121A9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6121A9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 continues to closely coordinate with DSWD-FO </w:t>
      </w:r>
      <w:r>
        <w:rPr>
          <w:rFonts w:ascii="Arial" w:eastAsia="Arial" w:hAnsi="Arial" w:cs="Arial"/>
          <w:i/>
          <w:color w:val="263238"/>
          <w:sz w:val="20"/>
          <w:szCs w:val="24"/>
        </w:rPr>
        <w:t>MIMAROPA</w:t>
      </w:r>
      <w:r w:rsidRPr="006121A9">
        <w:rPr>
          <w:rFonts w:ascii="Arial" w:eastAsia="Arial" w:hAnsi="Arial" w:cs="Arial"/>
          <w:i/>
          <w:color w:val="263238"/>
          <w:sz w:val="20"/>
          <w:szCs w:val="24"/>
        </w:rPr>
        <w:t xml:space="preserve"> for any request of Technical Assistance and Resource Augmentation (TARA).</w:t>
      </w:r>
    </w:p>
    <w:p w14:paraId="7B91724D" w14:textId="2E423145" w:rsidR="00C9090C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473D604B" w14:textId="77777777" w:rsidR="005D43BF" w:rsidRPr="00C431B1" w:rsidRDefault="005D43BF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68385C6B" w:rsidR="00C9090C" w:rsidRPr="00C431B1" w:rsidRDefault="00EE49D0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KIM AUSTIN A. ASPILLAGA</w:t>
      </w:r>
    </w:p>
    <w:p w14:paraId="788930A7" w14:textId="77777777" w:rsidR="00121E3A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431B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A1D0E58" w14:textId="77777777" w:rsidR="00121E3A" w:rsidRDefault="00121E3A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64B434F" w14:textId="77777777" w:rsidR="00121E3A" w:rsidRDefault="00121E3A" w:rsidP="00121E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0622762" w14:textId="77777777" w:rsidR="00121E3A" w:rsidRDefault="00121E3A" w:rsidP="00121E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08DB3D8" w14:textId="77777777" w:rsidR="00121E3A" w:rsidRDefault="00121E3A" w:rsidP="00121E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73925C2" w14:textId="77777777" w:rsidR="00121E3A" w:rsidRDefault="00121E3A" w:rsidP="00121E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66A5778" w14:textId="77777777" w:rsidR="00121E3A" w:rsidRDefault="00121E3A" w:rsidP="00121E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1375B00" w14:textId="77777777" w:rsidR="00121E3A" w:rsidRDefault="00121E3A" w:rsidP="00121E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201742B" w14:textId="77777777" w:rsidR="00DB0F84" w:rsidRDefault="00DB0F84" w:rsidP="00121E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CD281F8" w14:textId="77777777" w:rsidR="00DB0F84" w:rsidRDefault="00DB0F84" w:rsidP="00121E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4001FB" w14:textId="77777777" w:rsidR="001334EE" w:rsidRDefault="001334EE" w:rsidP="00121E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A3F48A" w14:textId="77777777" w:rsidR="005D43BF" w:rsidRDefault="005D43BF" w:rsidP="00121E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7BC1A57" w14:textId="6240FAFD" w:rsidR="00121E3A" w:rsidRPr="00C431B1" w:rsidRDefault="00DB0F84" w:rsidP="00121E3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33A3E157" w14:textId="04FD1F80" w:rsidR="00121E3A" w:rsidRPr="001E3207" w:rsidRDefault="00C90531" w:rsidP="00121E3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431B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31088DCA" w14:textId="1D61A983" w:rsidR="00121E3A" w:rsidRPr="001E3207" w:rsidRDefault="00121E3A" w:rsidP="00121E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320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6D6B56" wp14:editId="701A7EA3">
            <wp:extent cx="3076575" cy="1943002"/>
            <wp:effectExtent l="0" t="0" r="0" b="635"/>
            <wp:docPr id="2" name="Picture 2" descr="C:\Users\DSWD-1\Desktop\KC\Files\Disasters\2019\Human Induced Incident in Brgy. Naibuan, San Jose, Occidental Mindoro\Pictures\image_64834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WD-1\Desktop\KC\Files\Disasters\2019\Human Induced Incident in Brgy. Naibuan, San Jose, Occidental Mindoro\Pictures\image_648344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14" cy="196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207"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lang w:val="x-none" w:eastAsia="x-none" w:bidi="x-none"/>
        </w:rPr>
        <w:t xml:space="preserve"> </w:t>
      </w:r>
      <w:r w:rsidR="001E3207" w:rsidRPr="001E320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B0B6FE" wp14:editId="603976AE">
            <wp:extent cx="2809875" cy="1942465"/>
            <wp:effectExtent l="0" t="0" r="9525" b="635"/>
            <wp:docPr id="3" name="Picture 3" descr="C:\Users\DSWD-1\Desktop\KC\Files\Disasters\2019\Human Induced Incident in Brgy. Naibuan, San Jose, Occidental Mindoro\Pictures\image_648344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WD-1\Desktop\KC\Files\Disasters\2019\Human Induced Incident in Brgy. Naibuan, San Jose, Occidental Mindoro\Pictures\image_648344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82" cy="195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4474A" w14:textId="4E5D3BB4" w:rsidR="00121E3A" w:rsidRPr="001E3207" w:rsidRDefault="00121E3A" w:rsidP="00121E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320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E952E9" wp14:editId="22FE1AFF">
            <wp:extent cx="3076575" cy="1889125"/>
            <wp:effectExtent l="0" t="0" r="9525" b="0"/>
            <wp:docPr id="4" name="Picture 4" descr="C:\Users\DSWD-1\Desktop\KC\Files\Disasters\2019\Human Induced Incident in Brgy. Naibuan, San Jose, Occidental Mindoro\Pictures\image_648344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WD-1\Desktop\KC\Files\Disasters\2019\Human Induced Incident in Brgy. Naibuan, San Jose, Occidental Mindoro\Pictures\image_6483441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8" cy="189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207">
        <w:rPr>
          <w:rFonts w:ascii="Arial" w:hAnsi="Arial" w:cs="Arial"/>
          <w:sz w:val="24"/>
          <w:szCs w:val="24"/>
        </w:rPr>
        <w:t xml:space="preserve"> </w:t>
      </w:r>
      <w:r w:rsidRPr="001E320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3759D5" wp14:editId="058615B5">
            <wp:extent cx="2800350" cy="1894840"/>
            <wp:effectExtent l="0" t="0" r="0" b="0"/>
            <wp:docPr id="5" name="Picture 5" descr="C:\Users\DSWD-1\Desktop\KC\Files\Disasters\2019\Human Induced Incident in Brgy. Naibuan, San Jose, Occidental Mindoro\Pictures\image_648344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WD-1\Desktop\KC\Files\Disasters\2019\Human Induced Incident in Brgy. Naibuan, San Jose, Occidental Mindoro\Pictures\image_6483441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23" cy="19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FB19B" w14:textId="03FB77C1" w:rsidR="00121E3A" w:rsidRDefault="00121E3A" w:rsidP="00121E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320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1EAA45" wp14:editId="3E8C131C">
            <wp:extent cx="3086100" cy="2114550"/>
            <wp:effectExtent l="0" t="0" r="0" b="0"/>
            <wp:docPr id="6" name="Picture 6" descr="C:\Users\DSWD-1\Desktop\KC\Files\Disasters\2019\Human Induced Incident in Brgy. Naibuan, San Jose, Occidental Mindoro\Pictures\image_648344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WD-1\Desktop\KC\Files\Disasters\2019\Human Induced Incident in Brgy. Naibuan, San Jose, Occidental Mindoro\Pictures\image_6483441 (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60" cy="215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207">
        <w:rPr>
          <w:rFonts w:ascii="Arial" w:hAnsi="Arial" w:cs="Arial"/>
          <w:sz w:val="24"/>
          <w:szCs w:val="24"/>
        </w:rPr>
        <w:t xml:space="preserve"> </w:t>
      </w:r>
      <w:r w:rsidRPr="001E320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0BA982" wp14:editId="1ED28A94">
            <wp:extent cx="2790825" cy="2124710"/>
            <wp:effectExtent l="0" t="0" r="9525" b="8890"/>
            <wp:docPr id="7" name="Picture 7" descr="C:\Users\DSWD-1\Desktop\KC\Files\Disasters\2019\Human Induced Incident in Brgy. Naibuan, San Jose, Occidental Mindoro\Pictures\image_648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WD-1\Desktop\KC\Files\Disasters\2019\Human Induced Incident in Brgy. Naibuan, San Jose, Occidental Mindoro\Pictures\image_64834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28" cy="215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B1FCB" w14:textId="4DB20003" w:rsidR="001E3207" w:rsidRPr="001E3207" w:rsidRDefault="001E3207" w:rsidP="00121E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1E3207">
        <w:rPr>
          <w:rFonts w:ascii="Arial" w:hAnsi="Arial" w:cs="Arial"/>
          <w:i/>
          <w:sz w:val="20"/>
          <w:szCs w:val="24"/>
        </w:rPr>
        <w:t xml:space="preserve">Relief distribution to the household heads of </w:t>
      </w:r>
      <w:proofErr w:type="spellStart"/>
      <w:r w:rsidRPr="001E3207">
        <w:rPr>
          <w:rFonts w:ascii="Arial" w:hAnsi="Arial" w:cs="Arial"/>
          <w:i/>
          <w:sz w:val="20"/>
          <w:szCs w:val="24"/>
        </w:rPr>
        <w:t>Brgy</w:t>
      </w:r>
      <w:proofErr w:type="spellEnd"/>
      <w:r w:rsidRPr="001E3207">
        <w:rPr>
          <w:rFonts w:ascii="Arial" w:hAnsi="Arial" w:cs="Arial"/>
          <w:i/>
          <w:sz w:val="20"/>
          <w:szCs w:val="24"/>
        </w:rPr>
        <w:t xml:space="preserve">. </w:t>
      </w:r>
      <w:proofErr w:type="spellStart"/>
      <w:r w:rsidR="00D62232">
        <w:rPr>
          <w:rFonts w:ascii="Arial" w:hAnsi="Arial" w:cs="Arial"/>
          <w:i/>
          <w:sz w:val="20"/>
          <w:szCs w:val="24"/>
        </w:rPr>
        <w:t>N</w:t>
      </w:r>
      <w:r w:rsidRPr="001E3207">
        <w:rPr>
          <w:rFonts w:ascii="Arial" w:hAnsi="Arial" w:cs="Arial"/>
          <w:i/>
          <w:sz w:val="20"/>
          <w:szCs w:val="24"/>
        </w:rPr>
        <w:t>aibuan</w:t>
      </w:r>
      <w:proofErr w:type="spellEnd"/>
      <w:r w:rsidRPr="001E3207">
        <w:rPr>
          <w:rFonts w:ascii="Arial" w:hAnsi="Arial" w:cs="Arial"/>
          <w:i/>
          <w:sz w:val="20"/>
          <w:szCs w:val="24"/>
        </w:rPr>
        <w:t>, San Jose, Occidental Mindoro.</w:t>
      </w:r>
    </w:p>
    <w:p w14:paraId="4693EACF" w14:textId="77777777" w:rsidR="00121E3A" w:rsidRPr="001E3207" w:rsidRDefault="00121E3A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121E3A" w:rsidRPr="001E32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2561D" w14:textId="77777777" w:rsidR="00F95A43" w:rsidRDefault="00F95A43">
      <w:pPr>
        <w:spacing w:after="0" w:line="240" w:lineRule="auto"/>
      </w:pPr>
      <w:r>
        <w:separator/>
      </w:r>
    </w:p>
  </w:endnote>
  <w:endnote w:type="continuationSeparator" w:id="0">
    <w:p w14:paraId="07A01645" w14:textId="77777777" w:rsidR="00F95A43" w:rsidRDefault="00F9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48C115D8" w:rsidR="001149A2" w:rsidRPr="00F24B77" w:rsidRDefault="0082655B" w:rsidP="004E50D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5D43BF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5D43BF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924CB0" w:rsidRPr="00924CB0">
      <w:rPr>
        <w:rFonts w:ascii="Arial" w:eastAsia="Arial" w:hAnsi="Arial" w:cs="Arial"/>
        <w:sz w:val="14"/>
        <w:szCs w:val="18"/>
      </w:rPr>
      <w:t xml:space="preserve">DSWD DROMIC </w:t>
    </w:r>
    <w:r w:rsidR="004E50DA">
      <w:rPr>
        <w:rFonts w:ascii="Arial" w:eastAsia="Arial" w:hAnsi="Arial" w:cs="Arial"/>
        <w:sz w:val="14"/>
        <w:szCs w:val="18"/>
      </w:rPr>
      <w:t xml:space="preserve">Terminal </w:t>
    </w:r>
    <w:r w:rsidR="00924CB0" w:rsidRPr="00924CB0">
      <w:rPr>
        <w:rFonts w:ascii="Arial" w:eastAsia="Arial" w:hAnsi="Arial" w:cs="Arial"/>
        <w:sz w:val="14"/>
        <w:szCs w:val="18"/>
      </w:rPr>
      <w:t>R</w:t>
    </w:r>
    <w:r w:rsidR="004E50DA">
      <w:rPr>
        <w:rFonts w:ascii="Arial" w:eastAsia="Arial" w:hAnsi="Arial" w:cs="Arial"/>
        <w:sz w:val="14"/>
        <w:szCs w:val="18"/>
      </w:rPr>
      <w:t xml:space="preserve">eport </w:t>
    </w:r>
    <w:r w:rsidR="00924CB0">
      <w:rPr>
        <w:rFonts w:ascii="Arial" w:eastAsia="Arial" w:hAnsi="Arial" w:cs="Arial"/>
        <w:sz w:val="14"/>
        <w:szCs w:val="18"/>
      </w:rPr>
      <w:t xml:space="preserve">on the </w:t>
    </w:r>
    <w:r w:rsidR="004E50DA">
      <w:rPr>
        <w:rFonts w:ascii="Arial" w:eastAsia="Arial" w:hAnsi="Arial" w:cs="Arial"/>
        <w:sz w:val="14"/>
        <w:szCs w:val="18"/>
      </w:rPr>
      <w:t>Social Disorganization (</w:t>
    </w:r>
    <w:r w:rsidR="000B0E53">
      <w:rPr>
        <w:rFonts w:ascii="Arial" w:eastAsia="Arial" w:hAnsi="Arial" w:cs="Arial"/>
        <w:sz w:val="14"/>
        <w:szCs w:val="18"/>
      </w:rPr>
      <w:t>Human Induced Incident</w:t>
    </w:r>
    <w:r w:rsidR="004E50DA">
      <w:rPr>
        <w:rFonts w:ascii="Arial" w:eastAsia="Arial" w:hAnsi="Arial" w:cs="Arial"/>
        <w:sz w:val="14"/>
        <w:szCs w:val="18"/>
      </w:rPr>
      <w:t>)</w:t>
    </w:r>
    <w:r w:rsidR="000B0E53">
      <w:rPr>
        <w:rFonts w:ascii="Arial" w:eastAsia="Arial" w:hAnsi="Arial" w:cs="Arial"/>
        <w:sz w:val="14"/>
        <w:szCs w:val="18"/>
      </w:rPr>
      <w:t xml:space="preserve"> in San Jose, Occidental Mindoro</w:t>
    </w:r>
    <w:r w:rsidR="004E50DA">
      <w:rPr>
        <w:rFonts w:ascii="Arial" w:eastAsia="Arial" w:hAnsi="Arial" w:cs="Arial"/>
        <w:sz w:val="14"/>
        <w:szCs w:val="18"/>
      </w:rPr>
      <w:t>,</w:t>
    </w:r>
    <w:r w:rsidR="00924CB0">
      <w:rPr>
        <w:rFonts w:ascii="Arial" w:eastAsia="Arial" w:hAnsi="Arial" w:cs="Arial"/>
        <w:sz w:val="14"/>
        <w:szCs w:val="18"/>
      </w:rPr>
      <w:t xml:space="preserve"> </w:t>
    </w:r>
    <w:r w:rsidR="004E50DA">
      <w:rPr>
        <w:rFonts w:ascii="Arial" w:eastAsia="Arial" w:hAnsi="Arial" w:cs="Arial"/>
        <w:sz w:val="14"/>
        <w:szCs w:val="18"/>
      </w:rPr>
      <w:t xml:space="preserve">23 April </w:t>
    </w:r>
    <w:r w:rsidR="00A00DA9">
      <w:rPr>
        <w:rFonts w:ascii="Arial" w:eastAsia="Arial" w:hAnsi="Arial" w:cs="Arial"/>
        <w:sz w:val="14"/>
        <w:szCs w:val="18"/>
      </w:rPr>
      <w:t>2019</w:t>
    </w:r>
    <w:proofErr w:type="gramStart"/>
    <w:r w:rsidR="00A00DA9">
      <w:rPr>
        <w:rFonts w:ascii="Arial" w:eastAsia="Arial" w:hAnsi="Arial" w:cs="Arial"/>
        <w:sz w:val="14"/>
        <w:szCs w:val="18"/>
      </w:rPr>
      <w:t>,</w:t>
    </w:r>
    <w:r w:rsidR="004E50DA">
      <w:rPr>
        <w:rFonts w:ascii="Arial" w:eastAsia="Arial" w:hAnsi="Arial" w:cs="Arial"/>
        <w:sz w:val="14"/>
        <w:szCs w:val="18"/>
      </w:rPr>
      <w:t>6AM</w:t>
    </w:r>
    <w:proofErr w:type="gramEnd"/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E44E7" w14:textId="77777777" w:rsidR="00F95A43" w:rsidRDefault="00F95A43">
      <w:pPr>
        <w:spacing w:after="0" w:line="240" w:lineRule="auto"/>
      </w:pPr>
      <w:r>
        <w:separator/>
      </w:r>
    </w:p>
  </w:footnote>
  <w:footnote w:type="continuationSeparator" w:id="0">
    <w:p w14:paraId="106A4C26" w14:textId="77777777" w:rsidR="00F95A43" w:rsidRDefault="00F9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10431"/>
    <w:multiLevelType w:val="hybridMultilevel"/>
    <w:tmpl w:val="6B620422"/>
    <w:lvl w:ilvl="0" w:tplc="55D67A7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1CF5470"/>
    <w:multiLevelType w:val="hybridMultilevel"/>
    <w:tmpl w:val="2838673C"/>
    <w:lvl w:ilvl="0" w:tplc="A43C036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A057689"/>
    <w:multiLevelType w:val="hybridMultilevel"/>
    <w:tmpl w:val="AE6AAB84"/>
    <w:lvl w:ilvl="0" w:tplc="ED94EE9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21261"/>
    <w:multiLevelType w:val="hybridMultilevel"/>
    <w:tmpl w:val="28B89668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615"/>
    <w:rsid w:val="0000539F"/>
    <w:rsid w:val="00006D6A"/>
    <w:rsid w:val="000101D0"/>
    <w:rsid w:val="0001783A"/>
    <w:rsid w:val="00035F10"/>
    <w:rsid w:val="00042FEB"/>
    <w:rsid w:val="00046FA7"/>
    <w:rsid w:val="000708D9"/>
    <w:rsid w:val="00076785"/>
    <w:rsid w:val="00077D1C"/>
    <w:rsid w:val="00083789"/>
    <w:rsid w:val="00090371"/>
    <w:rsid w:val="00093334"/>
    <w:rsid w:val="00096310"/>
    <w:rsid w:val="000B0E53"/>
    <w:rsid w:val="000C60CE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16D0D"/>
    <w:rsid w:val="00121E3A"/>
    <w:rsid w:val="001322D8"/>
    <w:rsid w:val="001334EE"/>
    <w:rsid w:val="00135103"/>
    <w:rsid w:val="001528EE"/>
    <w:rsid w:val="00155842"/>
    <w:rsid w:val="00160189"/>
    <w:rsid w:val="00166062"/>
    <w:rsid w:val="001823AB"/>
    <w:rsid w:val="001847A6"/>
    <w:rsid w:val="00186433"/>
    <w:rsid w:val="00186D96"/>
    <w:rsid w:val="001875D1"/>
    <w:rsid w:val="001B2088"/>
    <w:rsid w:val="001B4682"/>
    <w:rsid w:val="001B6619"/>
    <w:rsid w:val="001B76F6"/>
    <w:rsid w:val="001E3207"/>
    <w:rsid w:val="001E35DA"/>
    <w:rsid w:val="001E404B"/>
    <w:rsid w:val="001E5944"/>
    <w:rsid w:val="001F0486"/>
    <w:rsid w:val="00204FE4"/>
    <w:rsid w:val="002203D3"/>
    <w:rsid w:val="00222413"/>
    <w:rsid w:val="00222C1E"/>
    <w:rsid w:val="00224104"/>
    <w:rsid w:val="00235A46"/>
    <w:rsid w:val="00243402"/>
    <w:rsid w:val="0024715B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326EE"/>
    <w:rsid w:val="0035250A"/>
    <w:rsid w:val="00357104"/>
    <w:rsid w:val="00371C7A"/>
    <w:rsid w:val="00375AE7"/>
    <w:rsid w:val="00375C00"/>
    <w:rsid w:val="003854B6"/>
    <w:rsid w:val="00387EBD"/>
    <w:rsid w:val="003902B0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67B76"/>
    <w:rsid w:val="00471854"/>
    <w:rsid w:val="00474826"/>
    <w:rsid w:val="00475561"/>
    <w:rsid w:val="004864BA"/>
    <w:rsid w:val="004A129A"/>
    <w:rsid w:val="004A4E86"/>
    <w:rsid w:val="004B48A7"/>
    <w:rsid w:val="004B6643"/>
    <w:rsid w:val="004C27AE"/>
    <w:rsid w:val="004C3428"/>
    <w:rsid w:val="004C4558"/>
    <w:rsid w:val="004E1F9B"/>
    <w:rsid w:val="004E50DA"/>
    <w:rsid w:val="004E58E2"/>
    <w:rsid w:val="004F3CA8"/>
    <w:rsid w:val="004F7A24"/>
    <w:rsid w:val="005205EB"/>
    <w:rsid w:val="00526FA0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3216"/>
    <w:rsid w:val="005B7B3E"/>
    <w:rsid w:val="005D43BF"/>
    <w:rsid w:val="005F7749"/>
    <w:rsid w:val="00602FBC"/>
    <w:rsid w:val="00604C05"/>
    <w:rsid w:val="006121A9"/>
    <w:rsid w:val="006128E3"/>
    <w:rsid w:val="0061793C"/>
    <w:rsid w:val="006240B5"/>
    <w:rsid w:val="0065029D"/>
    <w:rsid w:val="00651F59"/>
    <w:rsid w:val="00662AEB"/>
    <w:rsid w:val="00662BAE"/>
    <w:rsid w:val="006638C4"/>
    <w:rsid w:val="006650DE"/>
    <w:rsid w:val="00672917"/>
    <w:rsid w:val="00674417"/>
    <w:rsid w:val="0069567C"/>
    <w:rsid w:val="0069788A"/>
    <w:rsid w:val="006A6903"/>
    <w:rsid w:val="006B6DC3"/>
    <w:rsid w:val="006B7F71"/>
    <w:rsid w:val="006C514D"/>
    <w:rsid w:val="006C6E52"/>
    <w:rsid w:val="006C7E5F"/>
    <w:rsid w:val="006E2AB6"/>
    <w:rsid w:val="006F0656"/>
    <w:rsid w:val="006F7673"/>
    <w:rsid w:val="00702671"/>
    <w:rsid w:val="00702B70"/>
    <w:rsid w:val="0070366A"/>
    <w:rsid w:val="007202DE"/>
    <w:rsid w:val="00721CF9"/>
    <w:rsid w:val="007313BB"/>
    <w:rsid w:val="0073140C"/>
    <w:rsid w:val="0073758B"/>
    <w:rsid w:val="007550BB"/>
    <w:rsid w:val="0077218D"/>
    <w:rsid w:val="00776A1F"/>
    <w:rsid w:val="00794161"/>
    <w:rsid w:val="00795D24"/>
    <w:rsid w:val="007965D4"/>
    <w:rsid w:val="00796AC1"/>
    <w:rsid w:val="007A3178"/>
    <w:rsid w:val="007A4037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524BB"/>
    <w:rsid w:val="00853C77"/>
    <w:rsid w:val="00855B99"/>
    <w:rsid w:val="00871F0E"/>
    <w:rsid w:val="00881096"/>
    <w:rsid w:val="008816E5"/>
    <w:rsid w:val="008A0185"/>
    <w:rsid w:val="008B1217"/>
    <w:rsid w:val="008C6892"/>
    <w:rsid w:val="008C69B2"/>
    <w:rsid w:val="008C6D94"/>
    <w:rsid w:val="008E4068"/>
    <w:rsid w:val="008E6099"/>
    <w:rsid w:val="008F1FFB"/>
    <w:rsid w:val="008F7489"/>
    <w:rsid w:val="00901E90"/>
    <w:rsid w:val="009112F7"/>
    <w:rsid w:val="0091510D"/>
    <w:rsid w:val="00924CB0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4AA7"/>
    <w:rsid w:val="009B5C96"/>
    <w:rsid w:val="009C2BF6"/>
    <w:rsid w:val="009C3611"/>
    <w:rsid w:val="009D7FD6"/>
    <w:rsid w:val="009E122F"/>
    <w:rsid w:val="009E2494"/>
    <w:rsid w:val="009F6591"/>
    <w:rsid w:val="00A00DA9"/>
    <w:rsid w:val="00A055F1"/>
    <w:rsid w:val="00A11CE7"/>
    <w:rsid w:val="00A1443E"/>
    <w:rsid w:val="00A15CC7"/>
    <w:rsid w:val="00A1706A"/>
    <w:rsid w:val="00A3013B"/>
    <w:rsid w:val="00A3080E"/>
    <w:rsid w:val="00A4163C"/>
    <w:rsid w:val="00A4176F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2109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147C"/>
    <w:rsid w:val="00B17722"/>
    <w:rsid w:val="00B274F2"/>
    <w:rsid w:val="00B3139B"/>
    <w:rsid w:val="00B31859"/>
    <w:rsid w:val="00B4083F"/>
    <w:rsid w:val="00B40F59"/>
    <w:rsid w:val="00B56338"/>
    <w:rsid w:val="00B62851"/>
    <w:rsid w:val="00B65182"/>
    <w:rsid w:val="00B75DA9"/>
    <w:rsid w:val="00B865A2"/>
    <w:rsid w:val="00B86763"/>
    <w:rsid w:val="00BB2F4A"/>
    <w:rsid w:val="00BB7248"/>
    <w:rsid w:val="00BC2AFC"/>
    <w:rsid w:val="00BC3412"/>
    <w:rsid w:val="00BC3DAD"/>
    <w:rsid w:val="00BC57D7"/>
    <w:rsid w:val="00BD1919"/>
    <w:rsid w:val="00BE47F2"/>
    <w:rsid w:val="00BF1CAE"/>
    <w:rsid w:val="00C018FB"/>
    <w:rsid w:val="00C039EE"/>
    <w:rsid w:val="00C16E9F"/>
    <w:rsid w:val="00C2287F"/>
    <w:rsid w:val="00C431B1"/>
    <w:rsid w:val="00C61BA3"/>
    <w:rsid w:val="00C71876"/>
    <w:rsid w:val="00C71B5A"/>
    <w:rsid w:val="00C81BAD"/>
    <w:rsid w:val="00C87850"/>
    <w:rsid w:val="00C90531"/>
    <w:rsid w:val="00C9090C"/>
    <w:rsid w:val="00C94159"/>
    <w:rsid w:val="00CA32F8"/>
    <w:rsid w:val="00CA73C9"/>
    <w:rsid w:val="00CB57AA"/>
    <w:rsid w:val="00CC2E29"/>
    <w:rsid w:val="00CC4362"/>
    <w:rsid w:val="00CD1243"/>
    <w:rsid w:val="00CD395F"/>
    <w:rsid w:val="00CE3E33"/>
    <w:rsid w:val="00CF10D1"/>
    <w:rsid w:val="00D0357D"/>
    <w:rsid w:val="00D05A14"/>
    <w:rsid w:val="00D07F0F"/>
    <w:rsid w:val="00D1089F"/>
    <w:rsid w:val="00D10EA4"/>
    <w:rsid w:val="00D517A7"/>
    <w:rsid w:val="00D61622"/>
    <w:rsid w:val="00D62232"/>
    <w:rsid w:val="00D63CC6"/>
    <w:rsid w:val="00D96A46"/>
    <w:rsid w:val="00DB0F84"/>
    <w:rsid w:val="00DB3FC2"/>
    <w:rsid w:val="00DB4B44"/>
    <w:rsid w:val="00DC2272"/>
    <w:rsid w:val="00DC4256"/>
    <w:rsid w:val="00DC458A"/>
    <w:rsid w:val="00DC7C16"/>
    <w:rsid w:val="00DD070D"/>
    <w:rsid w:val="00DD3DDF"/>
    <w:rsid w:val="00DD506B"/>
    <w:rsid w:val="00DE2C90"/>
    <w:rsid w:val="00DF420F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776F7"/>
    <w:rsid w:val="00E77C5D"/>
    <w:rsid w:val="00E8312E"/>
    <w:rsid w:val="00E97EC4"/>
    <w:rsid w:val="00EA3452"/>
    <w:rsid w:val="00EA4913"/>
    <w:rsid w:val="00EA65DB"/>
    <w:rsid w:val="00EB7268"/>
    <w:rsid w:val="00EC1834"/>
    <w:rsid w:val="00EC24DD"/>
    <w:rsid w:val="00EC2BF7"/>
    <w:rsid w:val="00ED336C"/>
    <w:rsid w:val="00EE423D"/>
    <w:rsid w:val="00EE49D0"/>
    <w:rsid w:val="00EE4D06"/>
    <w:rsid w:val="00EE646E"/>
    <w:rsid w:val="00EF0E3A"/>
    <w:rsid w:val="00EF2BE1"/>
    <w:rsid w:val="00EF34B8"/>
    <w:rsid w:val="00F066B0"/>
    <w:rsid w:val="00F15F41"/>
    <w:rsid w:val="00F1663D"/>
    <w:rsid w:val="00F2441C"/>
    <w:rsid w:val="00F24B77"/>
    <w:rsid w:val="00F24B78"/>
    <w:rsid w:val="00F32323"/>
    <w:rsid w:val="00F459FE"/>
    <w:rsid w:val="00F53512"/>
    <w:rsid w:val="00F56ECD"/>
    <w:rsid w:val="00F63AF5"/>
    <w:rsid w:val="00F702AC"/>
    <w:rsid w:val="00F75D3D"/>
    <w:rsid w:val="00F90196"/>
    <w:rsid w:val="00F95A43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AD6889B1-F54B-4ABB-84C1-C90CC28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CB9E4-570C-491E-8DF8-A6596369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Ma. Consuelo J. del Prado</cp:lastModifiedBy>
  <cp:revision>15</cp:revision>
  <dcterms:created xsi:type="dcterms:W3CDTF">2019-04-22T16:55:00Z</dcterms:created>
  <dcterms:modified xsi:type="dcterms:W3CDTF">2019-04-22T22:18:00Z</dcterms:modified>
</cp:coreProperties>
</file>