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5C1B7F" w:rsidRPr="000E28BD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0E28B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Mangagoy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Bislig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 City,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2582B">
        <w:rPr>
          <w:rFonts w:ascii="Arial" w:eastAsia="Arial" w:hAnsi="Arial" w:cs="Arial"/>
          <w:sz w:val="24"/>
          <w:szCs w:val="24"/>
        </w:rPr>
        <w:t>24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276DE">
        <w:rPr>
          <w:rFonts w:ascii="Arial" w:eastAsia="Arial" w:hAnsi="Arial" w:cs="Arial"/>
          <w:sz w:val="24"/>
          <w:szCs w:val="24"/>
        </w:rPr>
        <w:t>6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F2582B">
        <w:rPr>
          <w:rFonts w:ascii="Arial" w:hAnsi="Arial" w:cs="Arial"/>
          <w:sz w:val="24"/>
          <w:szCs w:val="24"/>
        </w:rPr>
        <w:t>June 23, 2019 at around 11:20 A</w:t>
      </w:r>
      <w:r w:rsidR="000A102E" w:rsidRPr="000E28BD">
        <w:rPr>
          <w:rFonts w:ascii="Arial" w:hAnsi="Arial" w:cs="Arial"/>
          <w:sz w:val="24"/>
          <w:szCs w:val="24"/>
        </w:rPr>
        <w:t>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1E6399" w:rsidRPr="000E28BD">
        <w:rPr>
          <w:rFonts w:ascii="Arial" w:hAnsi="Arial" w:cs="Arial"/>
          <w:sz w:val="24"/>
          <w:szCs w:val="24"/>
        </w:rPr>
        <w:t xml:space="preserve">ncident </w:t>
      </w:r>
      <w:r w:rsidR="00F2582B">
        <w:rPr>
          <w:rFonts w:ascii="Arial" w:hAnsi="Arial" w:cs="Arial"/>
          <w:sz w:val="24"/>
          <w:szCs w:val="24"/>
        </w:rPr>
        <w:t>transpired</w:t>
      </w:r>
      <w:r w:rsidR="001E6399" w:rsidRPr="000E28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4 Market Site and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5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Caramcam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District, </w:t>
      </w:r>
      <w:proofErr w:type="spellStart"/>
      <w:r w:rsidR="00786F50" w:rsidRPr="000E28BD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0E28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582B">
        <w:rPr>
          <w:rFonts w:ascii="Arial" w:hAnsi="Arial" w:cs="Arial"/>
          <w:sz w:val="24"/>
          <w:szCs w:val="24"/>
        </w:rPr>
        <w:t>Mangagoy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82B">
        <w:rPr>
          <w:rFonts w:ascii="Arial" w:hAnsi="Arial" w:cs="Arial"/>
          <w:sz w:val="24"/>
          <w:szCs w:val="24"/>
        </w:rPr>
        <w:t>Bislig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F2582B">
        <w:rPr>
          <w:rFonts w:ascii="Arial" w:hAnsi="Arial" w:cs="Arial"/>
          <w:sz w:val="24"/>
          <w:szCs w:val="24"/>
        </w:rPr>
        <w:t>Surigao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del Sur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Pr="000E28BD">
        <w:rPr>
          <w:rFonts w:ascii="Arial" w:hAnsi="Arial" w:cs="Arial"/>
          <w:sz w:val="24"/>
          <w:szCs w:val="24"/>
        </w:rPr>
        <w:t xml:space="preserve">The cause of the fire is </w:t>
      </w:r>
      <w:r w:rsidR="0008794A" w:rsidRPr="000E28BD">
        <w:rPr>
          <w:rFonts w:ascii="Arial" w:hAnsi="Arial" w:cs="Arial"/>
          <w:sz w:val="24"/>
          <w:szCs w:val="24"/>
        </w:rPr>
        <w:t xml:space="preserve">due to unattended </w:t>
      </w:r>
      <w:r w:rsidR="00F2582B">
        <w:rPr>
          <w:rFonts w:ascii="Arial" w:hAnsi="Arial" w:cs="Arial"/>
          <w:sz w:val="24"/>
          <w:szCs w:val="24"/>
        </w:rPr>
        <w:t>cellphone c</w:t>
      </w:r>
      <w:bookmarkStart w:id="0" w:name="_GoBack"/>
      <w:bookmarkEnd w:id="0"/>
      <w:r w:rsidR="00F2582B">
        <w:rPr>
          <w:rFonts w:ascii="Arial" w:hAnsi="Arial" w:cs="Arial"/>
          <w:sz w:val="24"/>
          <w:szCs w:val="24"/>
        </w:rPr>
        <w:t>harger.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0E28BD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 total of</w:t>
      </w:r>
      <w:r w:rsidR="0008794A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21264">
        <w:rPr>
          <w:rFonts w:ascii="Arial" w:eastAsia="Arial" w:hAnsi="Arial" w:cs="Arial"/>
          <w:b/>
          <w:color w:val="0070C0"/>
          <w:sz w:val="24"/>
          <w:szCs w:val="24"/>
        </w:rPr>
        <w:t>344</w:t>
      </w:r>
      <w:r w:rsidR="001E6399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sz w:val="24"/>
          <w:szCs w:val="24"/>
        </w:rPr>
        <w:t>or</w:t>
      </w:r>
      <w:r w:rsidR="001E6399" w:rsidRPr="000E28BD">
        <w:rPr>
          <w:rFonts w:ascii="Arial" w:eastAsia="Arial" w:hAnsi="Arial" w:cs="Arial"/>
          <w:b/>
          <w:sz w:val="24"/>
          <w:szCs w:val="24"/>
        </w:rPr>
        <w:t xml:space="preserve"> </w:t>
      </w:r>
      <w:r w:rsidR="00321264">
        <w:rPr>
          <w:rFonts w:ascii="Arial" w:eastAsia="Arial" w:hAnsi="Arial" w:cs="Arial"/>
          <w:b/>
          <w:color w:val="0070C0"/>
          <w:sz w:val="24"/>
          <w:szCs w:val="24"/>
        </w:rPr>
        <w:t>1,572</w:t>
      </w:r>
      <w:r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0E28BD">
        <w:rPr>
          <w:rFonts w:ascii="Arial" w:eastAsia="Arial" w:hAnsi="Arial" w:cs="Arial"/>
          <w:sz w:val="24"/>
          <w:szCs w:val="24"/>
        </w:rPr>
        <w:t>were affected in</w:t>
      </w:r>
      <w:r w:rsidR="00FF4C25" w:rsidRPr="000E28B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F2582B">
        <w:rPr>
          <w:rFonts w:ascii="Arial" w:eastAsia="Arial" w:hAnsi="Arial" w:cs="Arial"/>
          <w:b/>
          <w:color w:val="0070C0"/>
          <w:sz w:val="24"/>
          <w:szCs w:val="24"/>
        </w:rPr>
        <w:t>Mangagoy</w:t>
      </w:r>
      <w:proofErr w:type="spellEnd"/>
      <w:r w:rsidR="00F2582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2582B">
        <w:rPr>
          <w:rFonts w:ascii="Arial" w:eastAsia="Arial" w:hAnsi="Arial" w:cs="Arial"/>
          <w:b/>
          <w:color w:val="0070C0"/>
          <w:sz w:val="24"/>
          <w:szCs w:val="24"/>
        </w:rPr>
        <w:t>Bislig</w:t>
      </w:r>
      <w:proofErr w:type="spellEnd"/>
      <w:r w:rsidR="00F2582B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F2582B">
        <w:rPr>
          <w:rFonts w:ascii="Arial" w:eastAsia="Arial" w:hAnsi="Arial" w:cs="Arial"/>
          <w:b/>
          <w:color w:val="0070C0"/>
          <w:sz w:val="24"/>
          <w:szCs w:val="24"/>
        </w:rPr>
        <w:t>Surigao</w:t>
      </w:r>
      <w:proofErr w:type="spellEnd"/>
      <w:r w:rsidR="00F2582B">
        <w:rPr>
          <w:rFonts w:ascii="Arial" w:eastAsia="Arial" w:hAnsi="Arial" w:cs="Arial"/>
          <w:b/>
          <w:color w:val="0070C0"/>
          <w:sz w:val="24"/>
          <w:szCs w:val="24"/>
        </w:rPr>
        <w:t xml:space="preserve"> del Sur</w:t>
      </w:r>
      <w:r w:rsidR="004A0F12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58"/>
        <w:gridCol w:w="1743"/>
        <w:gridCol w:w="1431"/>
        <w:gridCol w:w="1432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264" w:rsidRPr="0032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21264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1,572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264" w:rsidRPr="0032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21264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1,572</w:t>
            </w:r>
          </w:p>
        </w:tc>
      </w:tr>
      <w:tr w:rsidR="0031523E" w:rsidRPr="000E28BD" w:rsidTr="000E28BD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264" w:rsidRPr="0032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21264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1,572</w:t>
            </w:r>
          </w:p>
        </w:tc>
      </w:tr>
      <w:tr w:rsidR="0031523E" w:rsidRPr="000E28BD" w:rsidTr="000E28B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21264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344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21264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1,572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E28BD" w:rsidRDefault="00F2582B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94</w:t>
      </w:r>
      <w:r w:rsidR="000641CC"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463</w:t>
      </w:r>
      <w:r w:rsidR="000641CC"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 xml:space="preserve">are currently staying </w:t>
      </w:r>
      <w:r w:rsidR="000E28BD">
        <w:rPr>
          <w:rFonts w:ascii="Arial" w:hAnsi="Arial" w:cs="Arial"/>
          <w:color w:val="222222"/>
          <w:sz w:val="24"/>
          <w:shd w:val="clear" w:color="auto" w:fill="FFFFFF"/>
        </w:rPr>
        <w:t>at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 </w:t>
      </w:r>
      <w:proofErr w:type="spellStart"/>
      <w:r w:rsidR="0008794A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Brgy</w:t>
      </w:r>
      <w:proofErr w:type="spellEnd"/>
      <w:r w:rsidR="0008794A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color w:val="0070C0"/>
          <w:sz w:val="24"/>
          <w:shd w:val="clear" w:color="auto" w:fill="FFFFFF"/>
        </w:rPr>
        <w:t>Mangagoy</w:t>
      </w:r>
      <w:proofErr w:type="spellEnd"/>
      <w:r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Gymnasium</w:t>
      </w:r>
      <w:r w:rsidR="000641CC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2818"/>
        <w:gridCol w:w="1416"/>
        <w:gridCol w:w="1351"/>
        <w:gridCol w:w="897"/>
        <w:gridCol w:w="897"/>
        <w:gridCol w:w="897"/>
        <w:gridCol w:w="890"/>
      </w:tblGrid>
      <w:tr w:rsidR="00A6291F" w:rsidRPr="000E28BD" w:rsidTr="00321264">
        <w:trPr>
          <w:trHeight w:val="20"/>
        </w:trPr>
        <w:tc>
          <w:tcPr>
            <w:tcW w:w="1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0763" w:rsidRPr="000E28BD" w:rsidTr="0032126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463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  <w:r w:rsidRPr="000E28BD">
        <w:rPr>
          <w:rFonts w:ascii="Arial" w:hAnsi="Arial" w:cs="Arial"/>
          <w:color w:val="000000"/>
        </w:rPr>
        <w:t xml:space="preserve">There are </w:t>
      </w:r>
      <w:r w:rsidR="00F2582B">
        <w:rPr>
          <w:rFonts w:ascii="Arial" w:hAnsi="Arial" w:cs="Arial"/>
          <w:b/>
          <w:bCs/>
          <w:color w:val="0070C0"/>
        </w:rPr>
        <w:t>313</w:t>
      </w:r>
      <w:r w:rsidRPr="000E28BD">
        <w:rPr>
          <w:rFonts w:ascii="Arial" w:hAnsi="Arial" w:cs="Arial"/>
          <w:b/>
          <w:bCs/>
          <w:color w:val="0070C0"/>
        </w:rPr>
        <w:t xml:space="preserve"> damaged houses</w:t>
      </w:r>
      <w:r w:rsidRPr="000E28BD">
        <w:rPr>
          <w:rFonts w:ascii="Arial" w:hAnsi="Arial" w:cs="Arial"/>
          <w:color w:val="000000"/>
        </w:rPr>
        <w:t xml:space="preserve">; </w:t>
      </w:r>
      <w:r w:rsidR="00F2582B">
        <w:rPr>
          <w:rFonts w:ascii="Arial" w:hAnsi="Arial" w:cs="Arial"/>
          <w:b/>
          <w:bCs/>
          <w:color w:val="0070C0"/>
        </w:rPr>
        <w:t>310</w:t>
      </w:r>
      <w:r w:rsidR="0008794A" w:rsidRPr="000E28BD">
        <w:rPr>
          <w:rFonts w:ascii="Arial" w:hAnsi="Arial" w:cs="Arial"/>
          <w:b/>
          <w:bCs/>
          <w:color w:val="0070C0"/>
        </w:rPr>
        <w:t xml:space="preserve"> </w:t>
      </w:r>
      <w:r w:rsidRPr="000E28BD">
        <w:rPr>
          <w:rFonts w:ascii="Arial" w:hAnsi="Arial" w:cs="Arial"/>
          <w:b/>
          <w:bCs/>
          <w:color w:val="0070C0"/>
        </w:rPr>
        <w:t xml:space="preserve">of which are totally damaged </w:t>
      </w:r>
      <w:r w:rsidRPr="000E28BD">
        <w:rPr>
          <w:rFonts w:ascii="Arial" w:hAnsi="Arial" w:cs="Arial"/>
          <w:color w:val="000000"/>
        </w:rPr>
        <w:t>and</w:t>
      </w:r>
      <w:r w:rsidRPr="000E28BD">
        <w:rPr>
          <w:rFonts w:ascii="Arial" w:hAnsi="Arial" w:cs="Arial"/>
          <w:b/>
          <w:bCs/>
          <w:color w:val="000000"/>
        </w:rPr>
        <w:t xml:space="preserve"> </w:t>
      </w:r>
      <w:r w:rsidR="00F2582B">
        <w:rPr>
          <w:rFonts w:ascii="Arial" w:hAnsi="Arial" w:cs="Arial"/>
          <w:b/>
          <w:bCs/>
          <w:color w:val="0070C0"/>
        </w:rPr>
        <w:t>3</w:t>
      </w:r>
      <w:r w:rsidRPr="000E28BD">
        <w:rPr>
          <w:rFonts w:ascii="Arial" w:hAnsi="Arial" w:cs="Arial"/>
          <w:b/>
          <w:bCs/>
          <w:color w:val="0070C0"/>
        </w:rPr>
        <w:t xml:space="preserve"> </w:t>
      </w:r>
      <w:r w:rsidR="00F2582B">
        <w:rPr>
          <w:rFonts w:ascii="Arial" w:hAnsi="Arial" w:cs="Arial"/>
          <w:b/>
          <w:bCs/>
          <w:color w:val="0070C0"/>
        </w:rPr>
        <w:t>are</w:t>
      </w:r>
      <w:r w:rsidRPr="000E28BD">
        <w:rPr>
          <w:rFonts w:ascii="Arial" w:hAnsi="Arial" w:cs="Arial"/>
          <w:b/>
          <w:bCs/>
          <w:color w:val="0070C0"/>
        </w:rPr>
        <w:t xml:space="preserve"> partially damaged</w:t>
      </w:r>
      <w:r w:rsidRPr="000E28BD">
        <w:rPr>
          <w:rFonts w:ascii="Arial" w:hAnsi="Arial" w:cs="Arial"/>
          <w:color w:val="000000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  <w:r w:rsidR="00A6291F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  <w:r w:rsidR="00A6291F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  <w:r w:rsidR="00A6291F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91F" w:rsidRPr="000E28BD" w:rsidTr="000E2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i/>
                <w:iCs/>
                <w:sz w:val="20"/>
                <w:szCs w:val="20"/>
              </w:rPr>
              <w:t>313</w:t>
            </w: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2582B">
              <w:rPr>
                <w:rFonts w:ascii="Arial" w:hAnsi="Arial" w:cs="Arial"/>
                <w:i/>
                <w:iCs/>
                <w:sz w:val="20"/>
                <w:szCs w:val="20"/>
              </w:rPr>
              <w:t>310</w:t>
            </w: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A6291F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Pr="000E28BD" w:rsidRDefault="001E4328" w:rsidP="00A6291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1E6399" w:rsidRPr="000E28BD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F2582B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F1C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F2582B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0E28BD" w:rsidRDefault="00D31D64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through the Disaster Response Management Division (DRMD) in close coordination with the CSWDO and CDRRMO will continue </w:t>
            </w:r>
            <w:r w:rsidR="00EF1CA4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monitor the situation in order to provide </w:t>
            </w:r>
            <w:r w:rsidR="00EF1CA4">
              <w:rPr>
                <w:rFonts w:ascii="Arial" w:hAnsi="Arial" w:cs="Arial"/>
                <w:color w:val="0070C0"/>
                <w:sz w:val="20"/>
                <w:szCs w:val="20"/>
              </w:rPr>
              <w:t xml:space="preserve">more </w:t>
            </w:r>
            <w:r w:rsidR="00F2582B">
              <w:rPr>
                <w:rFonts w:ascii="Arial" w:hAnsi="Arial" w:cs="Arial"/>
                <w:color w:val="0070C0"/>
                <w:sz w:val="20"/>
                <w:szCs w:val="20"/>
              </w:rPr>
              <w:t>updates and possible augmentation support.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30F8C">
        <w:rPr>
          <w:rFonts w:ascii="Arial" w:eastAsia="Arial" w:hAnsi="Arial" w:cs="Arial"/>
          <w:i/>
          <w:sz w:val="20"/>
          <w:szCs w:val="24"/>
        </w:rPr>
        <w:t>CARAGA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Prepared by:</w:t>
      </w:r>
      <w:r w:rsidRPr="000E28BD">
        <w:rPr>
          <w:rFonts w:ascii="Arial" w:eastAsia="Arial" w:hAnsi="Arial" w:cs="Arial"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F2582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F2582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4" w:rsidRDefault="00597804">
      <w:pPr>
        <w:spacing w:after="0" w:line="240" w:lineRule="auto"/>
      </w:pPr>
      <w:r>
        <w:separator/>
      </w:r>
    </w:p>
  </w:endnote>
  <w:endnote w:type="continuationSeparator" w:id="0">
    <w:p w:rsidR="00597804" w:rsidRDefault="005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21264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2126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5C1B7F">
      <w:rPr>
        <w:rFonts w:ascii="Arial" w:eastAsia="Arial" w:hAnsi="Arial" w:cs="Arial"/>
        <w:sz w:val="14"/>
        <w:szCs w:val="18"/>
      </w:rPr>
      <w:t xml:space="preserve"> Report #1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0E28BD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0E28BD">
      <w:rPr>
        <w:rFonts w:ascii="Arial" w:eastAsia="Arial" w:hAnsi="Arial" w:cs="Arial"/>
        <w:sz w:val="14"/>
        <w:szCs w:val="18"/>
      </w:rPr>
      <w:t>Brgy</w:t>
    </w:r>
    <w:proofErr w:type="spellEnd"/>
    <w:r w:rsidR="000E28BD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2582B">
      <w:rPr>
        <w:rFonts w:ascii="Arial" w:eastAsia="Arial" w:hAnsi="Arial" w:cs="Arial"/>
        <w:sz w:val="14"/>
        <w:szCs w:val="18"/>
      </w:rPr>
      <w:t>Mangagoy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2582B">
      <w:rPr>
        <w:rFonts w:ascii="Arial" w:eastAsia="Arial" w:hAnsi="Arial" w:cs="Arial"/>
        <w:sz w:val="14"/>
        <w:szCs w:val="18"/>
      </w:rPr>
      <w:t>Bislig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 City, </w:t>
    </w:r>
    <w:proofErr w:type="spellStart"/>
    <w:r w:rsidR="00F2582B">
      <w:rPr>
        <w:rFonts w:ascii="Arial" w:eastAsia="Arial" w:hAnsi="Arial" w:cs="Arial"/>
        <w:sz w:val="14"/>
        <w:szCs w:val="18"/>
      </w:rPr>
      <w:t>Surigao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 del Sur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F2582B">
      <w:rPr>
        <w:rFonts w:ascii="Arial" w:eastAsia="Arial" w:hAnsi="Arial" w:cs="Arial"/>
        <w:sz w:val="14"/>
        <w:szCs w:val="18"/>
      </w:rPr>
      <w:t>as of 24 June 2019, 6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4" w:rsidRDefault="00597804">
      <w:pPr>
        <w:spacing w:after="0" w:line="240" w:lineRule="auto"/>
      </w:pPr>
      <w:r>
        <w:separator/>
      </w:r>
    </w:p>
  </w:footnote>
  <w:footnote w:type="continuationSeparator" w:id="0">
    <w:p w:rsidR="00597804" w:rsidRDefault="0059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1264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B38BB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1F34"/>
    <w:rsid w:val="00564400"/>
    <w:rsid w:val="005714F3"/>
    <w:rsid w:val="00574C3B"/>
    <w:rsid w:val="0058313A"/>
    <w:rsid w:val="005838F4"/>
    <w:rsid w:val="00590B6B"/>
    <w:rsid w:val="005924AF"/>
    <w:rsid w:val="00596FC3"/>
    <w:rsid w:val="00597804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57FD3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2582B"/>
    <w:rsid w:val="00F276DE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16CA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6BCC-E498-41C9-92B8-5D837D9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6</cp:revision>
  <dcterms:created xsi:type="dcterms:W3CDTF">2019-06-24T09:13:00Z</dcterms:created>
  <dcterms:modified xsi:type="dcterms:W3CDTF">2019-06-24T09:50:00Z</dcterms:modified>
</cp:coreProperties>
</file>