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5156DC" w:rsidRPr="00BE43F9">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515F7A">
        <w:rPr>
          <w:rFonts w:ascii="Arial" w:eastAsia="Arial" w:hAnsi="Arial" w:cs="Arial"/>
          <w:b/>
          <w:sz w:val="32"/>
          <w:szCs w:val="24"/>
        </w:rPr>
        <w:t>EGAY</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15F7A">
        <w:rPr>
          <w:rFonts w:ascii="Arial" w:eastAsia="Arial" w:hAnsi="Arial" w:cs="Arial"/>
          <w:sz w:val="24"/>
          <w:szCs w:val="24"/>
        </w:rPr>
        <w:t>01 July</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2057CB">
        <w:rPr>
          <w:rFonts w:ascii="Arial" w:eastAsia="Arial" w:hAnsi="Arial" w:cs="Arial"/>
          <w:sz w:val="24"/>
          <w:szCs w:val="24"/>
        </w:rPr>
        <w:t>5</w:t>
      </w:r>
      <w:r w:rsidR="00A846BD" w:rsidRPr="00BE43F9">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5170805</wp:posOffset>
            </wp:positionH>
            <wp:positionV relativeFrom="paragraph">
              <wp:posOffset>206375</wp:posOffset>
            </wp:positionV>
            <wp:extent cx="4565650" cy="35274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5650" cy="352742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CE7C6C" w:rsidRPr="00BE43F9" w:rsidRDefault="002B2EC9" w:rsidP="00816A95">
      <w:pPr>
        <w:pStyle w:val="Heading5"/>
        <w:shd w:val="clear" w:color="auto" w:fill="FFFFFF"/>
        <w:spacing w:before="0" w:after="0" w:line="240" w:lineRule="auto"/>
        <w:contextualSpacing/>
        <w:jc w:val="both"/>
        <w:rPr>
          <w:rFonts w:ascii="Arial" w:hAnsi="Arial" w:cs="Arial"/>
          <w:color w:val="auto"/>
          <w:sz w:val="24"/>
          <w:szCs w:val="24"/>
        </w:rPr>
      </w:pPr>
      <w:r>
        <w:rPr>
          <w:rFonts w:ascii="Arial" w:hAnsi="Arial" w:cs="Arial"/>
          <w:color w:val="auto"/>
          <w:sz w:val="24"/>
          <w:szCs w:val="24"/>
        </w:rPr>
        <w:t>Issued at 05</w:t>
      </w:r>
      <w:r w:rsidR="00816A95" w:rsidRPr="00BE43F9">
        <w:rPr>
          <w:rFonts w:ascii="Arial" w:hAnsi="Arial" w:cs="Arial"/>
          <w:color w:val="auto"/>
          <w:sz w:val="24"/>
          <w:szCs w:val="24"/>
        </w:rPr>
        <w:t xml:space="preserve">:00 </w:t>
      </w:r>
      <w:r w:rsidR="00CA0BE7">
        <w:rPr>
          <w:rFonts w:ascii="Arial" w:hAnsi="Arial" w:cs="Arial"/>
          <w:color w:val="auto"/>
          <w:sz w:val="24"/>
          <w:szCs w:val="24"/>
        </w:rPr>
        <w:t>P</w:t>
      </w:r>
      <w:r w:rsidR="004A080D">
        <w:rPr>
          <w:rFonts w:ascii="Arial" w:hAnsi="Arial" w:cs="Arial"/>
          <w:color w:val="auto"/>
          <w:sz w:val="24"/>
          <w:szCs w:val="24"/>
        </w:rPr>
        <w:t>M today</w:t>
      </w:r>
      <w:r w:rsidR="009650DC">
        <w:rPr>
          <w:rFonts w:ascii="Arial" w:hAnsi="Arial" w:cs="Arial"/>
          <w:color w:val="auto"/>
          <w:sz w:val="24"/>
          <w:szCs w:val="24"/>
        </w:rPr>
        <w:t xml:space="preserve">, </w:t>
      </w:r>
      <w:r w:rsidR="00515F7A">
        <w:rPr>
          <w:rFonts w:ascii="Arial" w:hAnsi="Arial" w:cs="Arial"/>
          <w:color w:val="auto"/>
          <w:sz w:val="24"/>
          <w:szCs w:val="24"/>
        </w:rPr>
        <w:t xml:space="preserve">Tropical Depression </w:t>
      </w:r>
      <w:r w:rsidR="009650DC" w:rsidRPr="009650DC">
        <w:rPr>
          <w:rFonts w:ascii="Arial" w:hAnsi="Arial" w:cs="Arial"/>
          <w:color w:val="auto"/>
          <w:sz w:val="24"/>
          <w:szCs w:val="24"/>
        </w:rPr>
        <w:t>"</w:t>
      </w:r>
      <w:r w:rsidR="00515F7A">
        <w:rPr>
          <w:rFonts w:ascii="Arial" w:hAnsi="Arial" w:cs="Arial"/>
          <w:color w:val="auto"/>
          <w:sz w:val="24"/>
          <w:szCs w:val="24"/>
        </w:rPr>
        <w:t>EGAY</w:t>
      </w:r>
      <w:r w:rsidR="009650DC" w:rsidRPr="009650DC">
        <w:rPr>
          <w:rFonts w:ascii="Arial" w:hAnsi="Arial" w:cs="Arial"/>
          <w:color w:val="auto"/>
          <w:sz w:val="24"/>
          <w:szCs w:val="24"/>
        </w:rPr>
        <w:t xml:space="preserve">" </w:t>
      </w:r>
      <w:r w:rsidRPr="002B2EC9">
        <w:rPr>
          <w:rFonts w:ascii="Arial" w:hAnsi="Arial" w:cs="Arial"/>
          <w:color w:val="auto"/>
          <w:sz w:val="24"/>
          <w:szCs w:val="24"/>
        </w:rPr>
        <w:t>has weakened into a low pressure area.</w:t>
      </w:r>
    </w:p>
    <w:p w:rsidR="002B2EC9" w:rsidRDefault="002B2EC9" w:rsidP="002B2EC9">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2B2EC9">
        <w:rPr>
          <w:rFonts w:ascii="Arial" w:eastAsia="Times New Roman" w:hAnsi="Arial" w:cs="Arial"/>
          <w:color w:val="auto"/>
          <w:sz w:val="24"/>
          <w:szCs w:val="24"/>
        </w:rPr>
        <w:t>Tropical Depression “EGAY” weakened into a Low Pressure Area at 2:00 PM today. Furthermore, this weather disturbance may dissipate in the next 24 to 48 hours</w:t>
      </w:r>
      <w:r>
        <w:rPr>
          <w:rFonts w:ascii="Arial" w:eastAsia="Times New Roman" w:hAnsi="Arial" w:cs="Arial"/>
          <w:color w:val="auto"/>
          <w:sz w:val="24"/>
          <w:szCs w:val="24"/>
        </w:rPr>
        <w:t>.</w:t>
      </w:r>
    </w:p>
    <w:p w:rsidR="002B2EC9" w:rsidRDefault="002B2EC9" w:rsidP="002B2EC9">
      <w:pPr>
        <w:pStyle w:val="ListParagraph"/>
        <w:numPr>
          <w:ilvl w:val="0"/>
          <w:numId w:val="43"/>
        </w:numPr>
        <w:rPr>
          <w:rFonts w:ascii="Arial" w:eastAsia="Times New Roman" w:hAnsi="Arial" w:cs="Arial"/>
          <w:color w:val="auto"/>
          <w:sz w:val="24"/>
          <w:szCs w:val="24"/>
        </w:rPr>
      </w:pPr>
      <w:r w:rsidRPr="002B2EC9">
        <w:rPr>
          <w:rFonts w:ascii="Arial" w:eastAsia="Times New Roman" w:hAnsi="Arial" w:cs="Arial"/>
          <w:color w:val="auto"/>
          <w:sz w:val="24"/>
          <w:szCs w:val="24"/>
        </w:rPr>
        <w:t xml:space="preserve">Tropical Cyclone Wind Signal #1 over </w:t>
      </w:r>
      <w:proofErr w:type="spellStart"/>
      <w:r w:rsidRPr="002B2EC9">
        <w:rPr>
          <w:rFonts w:ascii="Arial" w:eastAsia="Times New Roman" w:hAnsi="Arial" w:cs="Arial"/>
          <w:color w:val="auto"/>
          <w:sz w:val="24"/>
          <w:szCs w:val="24"/>
        </w:rPr>
        <w:t>Batanes</w:t>
      </w:r>
      <w:proofErr w:type="spellEnd"/>
      <w:r w:rsidRPr="002B2EC9">
        <w:rPr>
          <w:rFonts w:ascii="Arial" w:eastAsia="Times New Roman" w:hAnsi="Arial" w:cs="Arial"/>
          <w:color w:val="auto"/>
          <w:sz w:val="24"/>
          <w:szCs w:val="24"/>
        </w:rPr>
        <w:t xml:space="preserve"> and Babuyan Group of Islands has been lifted. </w:t>
      </w:r>
    </w:p>
    <w:p w:rsidR="002B2EC9" w:rsidRDefault="002B2EC9" w:rsidP="002B2EC9">
      <w:pPr>
        <w:pStyle w:val="ListParagraph"/>
        <w:numPr>
          <w:ilvl w:val="0"/>
          <w:numId w:val="43"/>
        </w:numPr>
        <w:rPr>
          <w:rFonts w:ascii="Arial" w:eastAsia="Times New Roman" w:hAnsi="Arial" w:cs="Arial"/>
          <w:color w:val="auto"/>
          <w:sz w:val="24"/>
          <w:szCs w:val="24"/>
        </w:rPr>
      </w:pPr>
      <w:r w:rsidRPr="002B2EC9">
        <w:rPr>
          <w:rFonts w:ascii="Arial" w:eastAsia="Times New Roman" w:hAnsi="Arial" w:cs="Arial"/>
          <w:color w:val="auto"/>
          <w:sz w:val="24"/>
          <w:szCs w:val="24"/>
        </w:rPr>
        <w:t xml:space="preserve">Due to the Low Pressure Area, light to moderate with at times heavy rains will be experienced over </w:t>
      </w:r>
      <w:proofErr w:type="spellStart"/>
      <w:r w:rsidRPr="002B2EC9">
        <w:rPr>
          <w:rFonts w:ascii="Arial" w:eastAsia="Times New Roman" w:hAnsi="Arial" w:cs="Arial"/>
          <w:color w:val="auto"/>
          <w:sz w:val="24"/>
          <w:szCs w:val="24"/>
        </w:rPr>
        <w:t>Batanes</w:t>
      </w:r>
      <w:proofErr w:type="spellEnd"/>
      <w:r w:rsidRPr="002B2EC9">
        <w:rPr>
          <w:rFonts w:ascii="Arial" w:eastAsia="Times New Roman" w:hAnsi="Arial" w:cs="Arial"/>
          <w:color w:val="auto"/>
          <w:sz w:val="24"/>
          <w:szCs w:val="24"/>
        </w:rPr>
        <w:t xml:space="preserve"> and the northern portions of </w:t>
      </w:r>
      <w:proofErr w:type="spellStart"/>
      <w:r w:rsidRPr="002B2EC9">
        <w:rPr>
          <w:rFonts w:ascii="Arial" w:eastAsia="Times New Roman" w:hAnsi="Arial" w:cs="Arial"/>
          <w:color w:val="auto"/>
          <w:sz w:val="24"/>
          <w:szCs w:val="24"/>
        </w:rPr>
        <w:t>Ilocos</w:t>
      </w:r>
      <w:proofErr w:type="spellEnd"/>
      <w:r w:rsidRPr="002B2EC9">
        <w:rPr>
          <w:rFonts w:ascii="Arial" w:eastAsia="Times New Roman" w:hAnsi="Arial" w:cs="Arial"/>
          <w:color w:val="auto"/>
          <w:sz w:val="24"/>
          <w:szCs w:val="24"/>
        </w:rPr>
        <w:t xml:space="preserve"> Norte, </w:t>
      </w:r>
      <w:proofErr w:type="spellStart"/>
      <w:r w:rsidRPr="002B2EC9">
        <w:rPr>
          <w:rFonts w:ascii="Arial" w:eastAsia="Times New Roman" w:hAnsi="Arial" w:cs="Arial"/>
          <w:color w:val="auto"/>
          <w:sz w:val="24"/>
          <w:szCs w:val="24"/>
        </w:rPr>
        <w:t>Apayao</w:t>
      </w:r>
      <w:proofErr w:type="spellEnd"/>
      <w:r w:rsidRPr="002B2EC9">
        <w:rPr>
          <w:rFonts w:ascii="Arial" w:eastAsia="Times New Roman" w:hAnsi="Arial" w:cs="Arial"/>
          <w:color w:val="auto"/>
          <w:sz w:val="24"/>
          <w:szCs w:val="24"/>
        </w:rPr>
        <w:t xml:space="preserve"> and Cagayan (including Babuyan Group of Islands) this afternoon until tomorrow early morning. </w:t>
      </w:r>
    </w:p>
    <w:p w:rsidR="002B2EC9" w:rsidRPr="002B2EC9" w:rsidRDefault="002B2EC9" w:rsidP="002B2EC9">
      <w:pPr>
        <w:pStyle w:val="ListParagraph"/>
        <w:numPr>
          <w:ilvl w:val="0"/>
          <w:numId w:val="43"/>
        </w:numPr>
        <w:rPr>
          <w:rFonts w:ascii="Arial" w:eastAsia="Times New Roman" w:hAnsi="Arial" w:cs="Arial"/>
          <w:color w:val="auto"/>
          <w:sz w:val="24"/>
          <w:szCs w:val="24"/>
        </w:rPr>
      </w:pPr>
      <w:r w:rsidRPr="002B2EC9">
        <w:rPr>
          <w:rFonts w:ascii="Arial" w:eastAsia="Times New Roman" w:hAnsi="Arial" w:cs="Arial"/>
          <w:color w:val="auto"/>
          <w:sz w:val="24"/>
          <w:szCs w:val="24"/>
        </w:rPr>
        <w:t xml:space="preserve">The Southwest Monsoon will continue to bring light to moderate with at times heavy monsoon rains over Metro Manila, Central Luzon, CALABARZON and MIMAROPA this afternoon until tomorrow early morning. Meanwhile, cloudy skies with scattered </w:t>
      </w:r>
      <w:proofErr w:type="spellStart"/>
      <w:r w:rsidRPr="002B2EC9">
        <w:rPr>
          <w:rFonts w:ascii="Arial" w:eastAsia="Times New Roman" w:hAnsi="Arial" w:cs="Arial"/>
          <w:color w:val="auto"/>
          <w:sz w:val="24"/>
          <w:szCs w:val="24"/>
        </w:rPr>
        <w:t>rainshowers</w:t>
      </w:r>
      <w:proofErr w:type="spellEnd"/>
      <w:r w:rsidRPr="002B2EC9">
        <w:rPr>
          <w:rFonts w:ascii="Arial" w:eastAsia="Times New Roman" w:hAnsi="Arial" w:cs="Arial"/>
          <w:color w:val="auto"/>
          <w:sz w:val="24"/>
          <w:szCs w:val="24"/>
        </w:rPr>
        <w:t xml:space="preserve"> and thunderstorms will prevail over </w:t>
      </w:r>
      <w:proofErr w:type="spellStart"/>
      <w:r w:rsidRPr="002B2EC9">
        <w:rPr>
          <w:rFonts w:ascii="Arial" w:eastAsia="Times New Roman" w:hAnsi="Arial" w:cs="Arial"/>
          <w:color w:val="auto"/>
          <w:sz w:val="24"/>
          <w:szCs w:val="24"/>
        </w:rPr>
        <w:t>Visayas</w:t>
      </w:r>
      <w:proofErr w:type="spellEnd"/>
      <w:r w:rsidRPr="002B2EC9">
        <w:rPr>
          <w:rFonts w:ascii="Arial" w:eastAsia="Times New Roman" w:hAnsi="Arial" w:cs="Arial"/>
          <w:color w:val="auto"/>
          <w:sz w:val="24"/>
          <w:szCs w:val="24"/>
        </w:rPr>
        <w:t xml:space="preserve"> and the rest of Luzon.</w:t>
      </w:r>
    </w:p>
    <w:p w:rsidR="00F20E47" w:rsidRPr="00F20E47" w:rsidRDefault="00F20E47" w:rsidP="00F20E47">
      <w:pPr>
        <w:pStyle w:val="ListParagraph"/>
        <w:numPr>
          <w:ilvl w:val="0"/>
          <w:numId w:val="43"/>
        </w:numPr>
        <w:rPr>
          <w:rFonts w:ascii="Arial" w:eastAsia="Times New Roman" w:hAnsi="Arial" w:cs="Arial"/>
          <w:color w:val="auto"/>
          <w:sz w:val="24"/>
          <w:szCs w:val="24"/>
        </w:rPr>
      </w:pPr>
      <w:r w:rsidRPr="00F20E47">
        <w:rPr>
          <w:rFonts w:ascii="Arial" w:eastAsia="Times New Roman" w:hAnsi="Arial" w:cs="Arial"/>
          <w:color w:val="auto"/>
          <w:sz w:val="24"/>
          <w:szCs w:val="24"/>
        </w:rPr>
        <w:t xml:space="preserve">Residents in the aforementioned areas, especially those living in areas identified to be at high risk of flooding and landslides, are advised to take precautionary measures, coordinate with local disaster risk reduction and management offices, and continue monitoring for updates, especially the Thunderstorm Advisories and Heavy Rainfall </w:t>
      </w:r>
      <w:r w:rsidRPr="00F20E47">
        <w:rPr>
          <w:rFonts w:ascii="Arial" w:eastAsia="Times New Roman" w:hAnsi="Arial" w:cs="Arial"/>
          <w:color w:val="auto"/>
          <w:sz w:val="24"/>
          <w:szCs w:val="24"/>
        </w:rPr>
        <w:lastRenderedPageBreak/>
        <w:t>Warnings to be issued by PAGASA Regional Services Divisions.</w:t>
      </w:r>
    </w:p>
    <w:p w:rsidR="009650DC" w:rsidRPr="00F20E47" w:rsidRDefault="00F20E47" w:rsidP="00F20E47">
      <w:pPr>
        <w:pStyle w:val="ListParagraph"/>
        <w:numPr>
          <w:ilvl w:val="0"/>
          <w:numId w:val="43"/>
        </w:numPr>
        <w:rPr>
          <w:rFonts w:ascii="Arial" w:eastAsia="Times New Roman" w:hAnsi="Arial" w:cs="Arial"/>
          <w:color w:val="auto"/>
          <w:sz w:val="24"/>
          <w:szCs w:val="24"/>
        </w:rPr>
      </w:pPr>
      <w:r w:rsidRPr="00F20E47">
        <w:rPr>
          <w:rFonts w:ascii="Arial" w:eastAsia="Times New Roman" w:hAnsi="Arial" w:cs="Arial"/>
          <w:color w:val="auto"/>
          <w:sz w:val="24"/>
          <w:szCs w:val="24"/>
        </w:rPr>
        <w:t xml:space="preserve">Moderate to rough seas will prevail over the seaboards of Northern Luzon and the western seaboards of Central and Southern Luzon in the next 24 hours. Those with small </w:t>
      </w:r>
      <w:proofErr w:type="spellStart"/>
      <w:r w:rsidRPr="00F20E47">
        <w:rPr>
          <w:rFonts w:ascii="Arial" w:eastAsia="Times New Roman" w:hAnsi="Arial" w:cs="Arial"/>
          <w:color w:val="auto"/>
          <w:sz w:val="24"/>
          <w:szCs w:val="24"/>
        </w:rPr>
        <w:t>seacrafts</w:t>
      </w:r>
      <w:proofErr w:type="spellEnd"/>
      <w:r w:rsidRPr="00F20E47">
        <w:rPr>
          <w:rFonts w:ascii="Arial" w:eastAsia="Times New Roman" w:hAnsi="Arial" w:cs="Arial"/>
          <w:color w:val="auto"/>
          <w:sz w:val="24"/>
          <w:szCs w:val="24"/>
        </w:rPr>
        <w:t xml:space="preserve"> are advised not the venture out in these areas.</w:t>
      </w:r>
    </w:p>
    <w:p w:rsidR="009C5CCE" w:rsidRDefault="00F20E47"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F20E47">
        <w:rPr>
          <w:rFonts w:ascii="Arial" w:hAnsi="Arial" w:cs="Arial"/>
          <w:bCs/>
          <w:color w:val="auto"/>
          <w:sz w:val="24"/>
          <w:szCs w:val="24"/>
        </w:rPr>
        <w:t xml:space="preserve">At 4:00 PM today, the Low Pressure Area (LPA) formerly "EGAY" was estimated based on all available data at 190 km East Northeast of </w:t>
      </w:r>
      <w:proofErr w:type="spellStart"/>
      <w:r w:rsidRPr="00F20E47">
        <w:rPr>
          <w:rFonts w:ascii="Arial" w:hAnsi="Arial" w:cs="Arial"/>
          <w:bCs/>
          <w:color w:val="auto"/>
          <w:sz w:val="24"/>
          <w:szCs w:val="24"/>
        </w:rPr>
        <w:t>Calayan</w:t>
      </w:r>
      <w:proofErr w:type="spellEnd"/>
      <w:r w:rsidRPr="00F20E47">
        <w:rPr>
          <w:rFonts w:ascii="Arial" w:hAnsi="Arial" w:cs="Arial"/>
          <w:bCs/>
          <w:color w:val="auto"/>
          <w:sz w:val="24"/>
          <w:szCs w:val="24"/>
        </w:rPr>
        <w:t>, Cagayan (19.7 °N, 123.2 °</w:t>
      </w:r>
      <w:proofErr w:type="gramStart"/>
      <w:r w:rsidRPr="00F20E47">
        <w:rPr>
          <w:rFonts w:ascii="Arial" w:hAnsi="Arial" w:cs="Arial"/>
          <w:bCs/>
          <w:color w:val="auto"/>
          <w:sz w:val="24"/>
          <w:szCs w:val="24"/>
        </w:rPr>
        <w:t>E )</w:t>
      </w:r>
      <w:proofErr w:type="gramEnd"/>
    </w:p>
    <w:p w:rsidR="00F20E47" w:rsidRPr="00F20E47" w:rsidRDefault="00F20E47"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203164" w:rsidRPr="00BE43F9" w:rsidRDefault="00203164" w:rsidP="00816A95">
      <w:pPr>
        <w:spacing w:after="0" w:line="240" w:lineRule="auto"/>
        <w:contextualSpacing/>
        <w:rPr>
          <w:rFonts w:ascii="Arial" w:eastAsia="Arial" w:hAnsi="Arial" w:cs="Arial"/>
          <w:b/>
          <w:color w:val="002060"/>
          <w:sz w:val="24"/>
          <w:szCs w:val="24"/>
        </w:rPr>
      </w:pPr>
      <w:bookmarkStart w:id="7" w:name="_Prepositioned_Resources:_Stockpile_1"/>
      <w:bookmarkEnd w:id="7"/>
    </w:p>
    <w:p w:rsidR="004808D9" w:rsidRDefault="004808D9"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9B667B" w:rsidRPr="009B667B">
        <w:rPr>
          <w:rFonts w:ascii="Arial" w:eastAsia="Arial" w:hAnsi="Arial" w:cs="Arial"/>
          <w:b/>
          <w:color w:val="0070C0"/>
          <w:sz w:val="24"/>
          <w:szCs w:val="24"/>
        </w:rPr>
        <w:t xml:space="preserve">1,974,755,075.16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9B667B" w:rsidRPr="009B667B">
        <w:rPr>
          <w:rFonts w:ascii="Arial" w:eastAsia="Arial" w:hAnsi="Arial" w:cs="Arial"/>
          <w:b/>
          <w:color w:val="0070C0"/>
          <w:sz w:val="24"/>
          <w:szCs w:val="24"/>
        </w:rPr>
        <w:t xml:space="preserve">1,174,771,923.28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0359C0">
        <w:rPr>
          <w:rFonts w:ascii="Arial" w:eastAsia="Arial" w:hAnsi="Arial" w:cs="Arial"/>
          <w:b/>
          <w:color w:val="0070C0"/>
          <w:sz w:val="24"/>
          <w:szCs w:val="24"/>
        </w:rPr>
        <w:t>1,128,751,6</w:t>
      </w:r>
      <w:r w:rsidR="000359C0" w:rsidRPr="000359C0">
        <w:rPr>
          <w:rFonts w:ascii="Arial" w:eastAsia="Arial" w:hAnsi="Arial" w:cs="Arial"/>
          <w:b/>
          <w:color w:val="0070C0"/>
          <w:sz w:val="24"/>
          <w:szCs w:val="24"/>
        </w:rPr>
        <w:t>13.00</w:t>
      </w:r>
      <w:r w:rsidR="00D700D1" w:rsidRPr="004808D9">
        <w:rPr>
          <w:rFonts w:ascii="Arial" w:eastAsia="Arial" w:hAnsi="Arial" w:cs="Arial"/>
          <w:b/>
          <w:color w:val="FF000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223D7C" w:rsidRPr="00223D7C">
        <w:rPr>
          <w:rFonts w:ascii="Arial" w:eastAsia="Arial" w:hAnsi="Arial" w:cs="Arial"/>
          <w:b/>
          <w:color w:val="0070C0"/>
          <w:sz w:val="24"/>
          <w:szCs w:val="24"/>
        </w:rPr>
        <w:t xml:space="preserve">319,478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23D7C" w:rsidRPr="00223D7C">
        <w:rPr>
          <w:rFonts w:ascii="Arial" w:eastAsia="Arial" w:hAnsi="Arial" w:cs="Arial"/>
          <w:b/>
          <w:color w:val="0070C0"/>
          <w:sz w:val="24"/>
          <w:szCs w:val="24"/>
        </w:rPr>
        <w:t xml:space="preserve">122,137,558.80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23D7C">
        <w:rPr>
          <w:rFonts w:ascii="Arial" w:eastAsia="Arial" w:hAnsi="Arial" w:cs="Arial"/>
          <w:b/>
          <w:color w:val="0070C0"/>
          <w:sz w:val="24"/>
          <w:szCs w:val="24"/>
        </w:rPr>
        <w:t>677,845,593.08</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4808D9"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sz w:val="24"/>
                <w:szCs w:val="24"/>
              </w:rPr>
            </w:pPr>
            <w:r w:rsidRPr="004808D9">
              <w:rPr>
                <w:rFonts w:ascii="Arial Narrow" w:hAnsi="Arial Narrow" w:cs="Arial"/>
                <w:b/>
                <w:bCs/>
                <w:i/>
                <w:iCs/>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Total STANDBY FUNDS &amp; STOCKPILE</w:t>
            </w:r>
          </w:p>
        </w:tc>
      </w:tr>
      <w:tr w:rsidR="004808D9" w:rsidRPr="004808D9" w:rsidTr="004808D9">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4808D9" w:rsidRDefault="004808D9" w:rsidP="004808D9">
            <w:pPr>
              <w:spacing w:line="240" w:lineRule="auto"/>
              <w:contextualSpacing/>
              <w:rPr>
                <w:rFonts w:ascii="Arial Narrow" w:hAnsi="Arial Narrow" w:cs="Arial"/>
                <w:b/>
                <w:bCs/>
                <w:i/>
                <w:iCs/>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4808D9" w:rsidRDefault="004808D9" w:rsidP="004808D9">
            <w:pPr>
              <w:spacing w:line="240" w:lineRule="auto"/>
              <w:contextualSpacing/>
              <w:rPr>
                <w:rFonts w:ascii="Arial Narrow" w:hAnsi="Arial Narrow" w:cs="Arial"/>
                <w:b/>
                <w:bCs/>
                <w:i/>
                <w:iCs/>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sz w:val="24"/>
                <w:szCs w:val="24"/>
              </w:rPr>
            </w:pPr>
            <w:r w:rsidRPr="004808D9">
              <w:rPr>
                <w:rFonts w:ascii="Arial Narrow" w:hAnsi="Arial Narrow" w:cs="Arial"/>
                <w:b/>
                <w:bCs/>
                <w:i/>
                <w:iCs/>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Non Food Items</w:t>
            </w:r>
          </w:p>
        </w:tc>
        <w:tc>
          <w:tcPr>
            <w:tcW w:w="921"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808D9" w:rsidRDefault="004808D9" w:rsidP="004808D9">
            <w:pPr>
              <w:spacing w:line="240" w:lineRule="auto"/>
              <w:contextualSpacing/>
              <w:rPr>
                <w:rFonts w:ascii="Arial Narrow" w:hAnsi="Arial Narrow" w:cs="Arial"/>
                <w:b/>
                <w:bCs/>
                <w:i/>
                <w:iCs/>
              </w:rPr>
            </w:pPr>
          </w:p>
        </w:tc>
      </w:tr>
      <w:tr w:rsidR="004808D9" w:rsidRPr="004808D9" w:rsidTr="004808D9">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4808D9" w:rsidRDefault="004808D9" w:rsidP="004808D9">
            <w:pPr>
              <w:spacing w:line="240" w:lineRule="auto"/>
              <w:contextualSpacing/>
              <w:rPr>
                <w:rFonts w:ascii="Arial Narrow" w:hAnsi="Arial Narrow" w:cs="Arial"/>
                <w:b/>
                <w:bCs/>
                <w:i/>
                <w:iCs/>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4808D9" w:rsidRDefault="004808D9" w:rsidP="004808D9">
            <w:pPr>
              <w:spacing w:line="240" w:lineRule="auto"/>
              <w:contextualSpacing/>
              <w:rPr>
                <w:rFonts w:ascii="Arial Narrow" w:hAnsi="Arial Narrow" w:cs="Arial"/>
                <w:b/>
                <w:bCs/>
                <w:i/>
                <w:iCs/>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808D9" w:rsidRDefault="004808D9" w:rsidP="004808D9">
            <w:pPr>
              <w:spacing w:line="240" w:lineRule="auto"/>
              <w:contextualSpacing/>
              <w:jc w:val="center"/>
              <w:rPr>
                <w:rFonts w:ascii="Arial Narrow" w:hAnsi="Arial Narrow" w:cs="Arial"/>
                <w:b/>
                <w:bCs/>
                <w:i/>
                <w:iCs/>
              </w:rPr>
            </w:pPr>
            <w:r w:rsidRPr="004808D9">
              <w:rPr>
                <w:rFonts w:ascii="Arial Narrow" w:hAnsi="Arial Narrow" w:cs="Arial"/>
                <w:b/>
                <w:bCs/>
                <w:i/>
                <w:iCs/>
              </w:rPr>
              <w:t>Total Cost</w:t>
            </w:r>
          </w:p>
        </w:tc>
        <w:tc>
          <w:tcPr>
            <w:tcW w:w="921" w:type="pct"/>
            <w:vMerge/>
            <w:tcBorders>
              <w:top w:val="single" w:sz="6" w:space="0" w:color="CCCCCC"/>
              <w:left w:val="single" w:sz="6" w:space="0" w:color="CCCCCC"/>
              <w:bottom w:val="single" w:sz="6" w:space="0" w:color="000000"/>
              <w:right w:val="single" w:sz="4" w:space="0" w:color="auto"/>
            </w:tcBorders>
            <w:vAlign w:val="center"/>
            <w:hideMark/>
          </w:tcPr>
          <w:p w:rsidR="004808D9" w:rsidRPr="004808D9" w:rsidRDefault="004808D9" w:rsidP="004808D9">
            <w:pPr>
              <w:spacing w:line="240" w:lineRule="auto"/>
              <w:contextualSpacing/>
              <w:rPr>
                <w:rFonts w:ascii="Arial Narrow" w:hAnsi="Arial Narrow" w:cs="Arial"/>
                <w:b/>
                <w:bCs/>
                <w:i/>
                <w:iCs/>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808D9" w:rsidRDefault="004808D9" w:rsidP="004808D9">
            <w:pPr>
              <w:spacing w:line="240" w:lineRule="auto"/>
              <w:contextualSpacing/>
              <w:rPr>
                <w:rFonts w:ascii="Arial Narrow" w:hAnsi="Arial Narrow" w:cs="Arial"/>
                <w:b/>
                <w:bCs/>
                <w:i/>
                <w:iCs/>
              </w:rPr>
            </w:pPr>
          </w:p>
        </w:tc>
      </w:tr>
      <w:tr w:rsidR="004808D9" w:rsidRPr="004808D9" w:rsidTr="004808D9">
        <w:trPr>
          <w:trHeight w:val="63"/>
        </w:trPr>
        <w:tc>
          <w:tcPr>
            <w:tcW w:w="520"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center"/>
              <w:rPr>
                <w:rFonts w:ascii="Arial Narrow" w:hAnsi="Arial Narrow" w:cs="Arial"/>
                <w:b/>
                <w:bCs/>
              </w:rPr>
            </w:pPr>
            <w:r w:rsidRPr="004808D9">
              <w:rPr>
                <w:rFonts w:ascii="Arial Narrow" w:hAnsi="Arial Narrow" w:cs="Arial"/>
                <w:b/>
                <w:bCs/>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1,174,771,923.28</w:t>
            </w:r>
          </w:p>
        </w:tc>
        <w:tc>
          <w:tcPr>
            <w:tcW w:w="31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center"/>
              <w:rPr>
                <w:rFonts w:ascii="Arial Narrow" w:hAnsi="Arial Narrow" w:cs="Arial"/>
                <w:b/>
                <w:bCs/>
              </w:rPr>
            </w:pPr>
            <w:r w:rsidRPr="004808D9">
              <w:rPr>
                <w:rFonts w:ascii="Arial Narrow" w:hAnsi="Arial Narrow" w:cs="Arial"/>
                <w:b/>
                <w:bCs/>
              </w:rPr>
              <w:t>319,478</w:t>
            </w:r>
          </w:p>
        </w:tc>
        <w:tc>
          <w:tcPr>
            <w:tcW w:w="52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122,137,558.80</w:t>
            </w:r>
          </w:p>
        </w:tc>
        <w:tc>
          <w:tcPr>
            <w:tcW w:w="592"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172,726,260.97</w:t>
            </w:r>
          </w:p>
        </w:tc>
        <w:tc>
          <w:tcPr>
            <w:tcW w:w="53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505,119,332.11</w:t>
            </w:r>
          </w:p>
        </w:tc>
        <w:tc>
          <w:tcPr>
            <w:tcW w:w="921"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677,845,593.08</w:t>
            </w:r>
          </w:p>
        </w:tc>
        <w:tc>
          <w:tcPr>
            <w:tcW w:w="994" w:type="pct"/>
            <w:tcBorders>
              <w:top w:val="single" w:sz="4" w:space="0" w:color="auto"/>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b/>
                <w:bCs/>
              </w:rPr>
            </w:pPr>
            <w:r w:rsidRPr="004808D9">
              <w:rPr>
                <w:rFonts w:ascii="Arial Narrow" w:hAnsi="Arial Narrow" w:cs="Arial"/>
                <w:b/>
                <w:bCs/>
              </w:rPr>
              <w:t>1,974,755,075.16</w:t>
            </w:r>
          </w:p>
        </w:tc>
      </w:tr>
      <w:tr w:rsidR="004808D9" w:rsidRPr="004808D9" w:rsidTr="004808D9">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Central Office</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1,128,751,613.00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sz w:val="20"/>
                <w:szCs w:val="20"/>
              </w:rPr>
            </w:pP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sz w:val="20"/>
                <w:szCs w:val="20"/>
              </w:rPr>
            </w:pP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sz w:val="20"/>
                <w:szCs w:val="20"/>
              </w:rPr>
            </w:pP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sz w:val="20"/>
                <w:szCs w:val="20"/>
              </w:rPr>
            </w:pP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1,128,751,613.00</w:t>
            </w:r>
          </w:p>
        </w:tc>
      </w:tr>
      <w:tr w:rsidR="004808D9" w:rsidRPr="004808D9" w:rsidTr="004808D9">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NRLMB - NROC</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98,900</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38,581,422.00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85,134,129.94</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337,783,491.28</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422,917,621.22</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461,499,043.22</w:t>
            </w:r>
          </w:p>
        </w:tc>
      </w:tr>
      <w:tr w:rsidR="004808D9" w:rsidRPr="004808D9" w:rsidTr="004808D9">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lastRenderedPageBreak/>
              <w:t>NRLMB - VDRC</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11,700</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4,212,000.00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1,203,200.00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5,224,562.31</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6,427,762.31</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10,639,762.31</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2,379,275.00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6,206</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2,280,540.84</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2,725,567.60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32,634,081.35</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35,359,648.95</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40,019,464.79</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II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2,607,537.00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17,434</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5,731,851.40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3,352,676.29</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349,602.75</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3,702,279.04</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12,041,667.44</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III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2,484,557.00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18,595</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8,411,049.16</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899,919.70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241,706.00</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1,141,625.70</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12,037,231.86</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CALABARZON</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2,544,350.00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4,859</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1,750,614.94</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3,418,826.40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2,398,989.61</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5,817,816.01</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10,112,780.95</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MIMAROPA</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2,488,811.58</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23,129</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9,667,922.00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2,881,805.25</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859,605.00</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3,741,410.25</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15,898,143.83</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V</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23,217</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9,009,854.54</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11,417,748.72</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40,793,105.97</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52,210,854.69</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64,220,709.23</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VI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3,000,317.60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7,391</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2,665,696.32</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9,290,508.10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3,738,152.50</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13,028,660.60</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18,694,674.52</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VII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15,675</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5,643,000.00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21,186,085.97</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19,988,685.42</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41,174,771.39</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49,817,771.39</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VIII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3,001,960.00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29,306</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10,591,774.52</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1,331,019.04</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1,163,983.00</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2,495,002.04</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16,088,736.56</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IX</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2,510,721.35</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10,119</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3,642,840.00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813,730.00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3,793,242.35</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4,606,972.35</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10,760,533.70</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X</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7,253</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2,735,396.42</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5,539,268.20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32,474,481.66</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38,013,749.86</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43,749,146.28</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XI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3,028,750.00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12,731</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4,600,983.40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10,673,200.00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10,286,218.61</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20,959,418.61</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28,589,152.01</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XII</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3,680,801.30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5,908</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2,369,108.00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2,769,132.67</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851,017.26</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3,620,149.93</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9,670,059.23</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CARAGA</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9,608</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3,502,386.00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1,707,388.90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6,695,907.45</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8,403,296.35</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14,905,682.35</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NCR</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3,292,543.50</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1,119</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385,740.30</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2,960,333.89</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928,770.00</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3,889,103.89</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7,567,387.69</w:t>
            </w:r>
          </w:p>
        </w:tc>
      </w:tr>
      <w:tr w:rsidR="004808D9" w:rsidRPr="004808D9" w:rsidTr="004808D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rPr>
                <w:rFonts w:ascii="Arial Narrow" w:hAnsi="Arial Narrow" w:cs="Arial"/>
                <w:b/>
                <w:bCs/>
              </w:rPr>
            </w:pPr>
            <w:r w:rsidRPr="004808D9">
              <w:rPr>
                <w:rFonts w:ascii="Arial Narrow" w:hAnsi="Arial Narrow" w:cs="Arial"/>
                <w:b/>
                <w:bCs/>
              </w:rPr>
              <w:t>CAR</w:t>
            </w:r>
          </w:p>
        </w:tc>
        <w:tc>
          <w:tcPr>
            <w:tcW w:w="5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3,000,685.95</w:t>
            </w:r>
          </w:p>
        </w:tc>
        <w:tc>
          <w:tcPr>
            <w:tcW w:w="31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center"/>
              <w:rPr>
                <w:rFonts w:ascii="Arial Narrow" w:hAnsi="Arial Narrow" w:cs="Arial"/>
              </w:rPr>
            </w:pPr>
            <w:r w:rsidRPr="004808D9">
              <w:rPr>
                <w:rFonts w:ascii="Arial Narrow" w:hAnsi="Arial Narrow" w:cs="Arial"/>
              </w:rPr>
              <w:t>16,328</w:t>
            </w:r>
          </w:p>
        </w:tc>
        <w:tc>
          <w:tcPr>
            <w:tcW w:w="52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6,355,378.96</w:t>
            </w:r>
          </w:p>
        </w:tc>
        <w:tc>
          <w:tcPr>
            <w:tcW w:w="5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5,421,720.30</w:t>
            </w:r>
          </w:p>
        </w:tc>
        <w:tc>
          <w:tcPr>
            <w:tcW w:w="53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4,913,729.59</w:t>
            </w:r>
          </w:p>
        </w:tc>
        <w:tc>
          <w:tcPr>
            <w:tcW w:w="9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10,335,449.89</w:t>
            </w:r>
          </w:p>
        </w:tc>
        <w:tc>
          <w:tcPr>
            <w:tcW w:w="99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223D7C" w:rsidRPr="004808D9" w:rsidRDefault="00223D7C" w:rsidP="004808D9">
            <w:pPr>
              <w:spacing w:line="240" w:lineRule="auto"/>
              <w:contextualSpacing/>
              <w:jc w:val="right"/>
              <w:rPr>
                <w:rFonts w:ascii="Arial Narrow" w:hAnsi="Arial Narrow" w:cs="Arial"/>
              </w:rPr>
            </w:pPr>
            <w:r w:rsidRPr="004808D9">
              <w:rPr>
                <w:rFonts w:ascii="Arial Narrow" w:hAnsi="Arial Narrow" w:cs="Arial"/>
              </w:rPr>
              <w:t>19,691,514.80</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0359C0">
        <w:rPr>
          <w:rFonts w:ascii="Arial" w:hAnsi="Arial" w:cs="Arial"/>
          <w:i/>
          <w:sz w:val="20"/>
          <w:szCs w:val="24"/>
        </w:rPr>
        <w:t>28</w:t>
      </w:r>
      <w:r>
        <w:rPr>
          <w:rFonts w:ascii="Arial" w:hAnsi="Arial" w:cs="Arial"/>
          <w:i/>
          <w:sz w:val="20"/>
          <w:szCs w:val="24"/>
        </w:rPr>
        <w:t xml:space="preserve"> June </w:t>
      </w:r>
      <w:r w:rsidR="00D700D1" w:rsidRPr="00D700D1">
        <w:rPr>
          <w:rFonts w:ascii="Arial" w:hAnsi="Arial" w:cs="Arial"/>
          <w:i/>
          <w:sz w:val="20"/>
          <w:szCs w:val="24"/>
        </w:rPr>
        <w:t>2019</w:t>
      </w:r>
    </w:p>
    <w:p w:rsidR="004C5385" w:rsidRPr="00D46740" w:rsidRDefault="004C5385" w:rsidP="004808D9">
      <w:pPr>
        <w:spacing w:after="0" w:line="240" w:lineRule="auto"/>
        <w:ind w:firstLine="720"/>
        <w:contextualSpacing/>
        <w:rPr>
          <w:rFonts w:ascii="Arial" w:hAnsi="Arial" w:cs="Arial"/>
          <w:sz w:val="24"/>
          <w:szCs w:val="24"/>
        </w:rPr>
      </w:pPr>
    </w:p>
    <w:p w:rsidR="00D700D1" w:rsidRDefault="00D700D1" w:rsidP="004808D9">
      <w:pPr>
        <w:spacing w:after="0" w:line="240" w:lineRule="auto"/>
        <w:contextualSpacing/>
        <w:rPr>
          <w:rFonts w:ascii="Arial" w:hAnsi="Arial" w:cs="Arial"/>
          <w:sz w:val="24"/>
          <w:szCs w:val="24"/>
        </w:rPr>
      </w:pPr>
    </w:p>
    <w:p w:rsidR="00F20E47" w:rsidRDefault="00F20E47" w:rsidP="004808D9">
      <w:pPr>
        <w:spacing w:after="0" w:line="240" w:lineRule="auto"/>
        <w:contextualSpacing/>
        <w:rPr>
          <w:rFonts w:ascii="Arial" w:hAnsi="Arial" w:cs="Arial"/>
          <w:sz w:val="24"/>
          <w:szCs w:val="24"/>
        </w:rPr>
      </w:pPr>
    </w:p>
    <w:p w:rsidR="00F20E47" w:rsidRPr="00D46740" w:rsidRDefault="00F20E47" w:rsidP="004808D9">
      <w:pPr>
        <w:spacing w:after="0" w:line="240" w:lineRule="auto"/>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515F7A" w:rsidP="00515F7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01</w:t>
            </w:r>
            <w:r w:rsidR="00454E8A">
              <w:rPr>
                <w:rFonts w:ascii="Arial" w:hAnsi="Arial" w:cs="Arial"/>
                <w:color w:val="000000" w:themeColor="text1"/>
                <w:sz w:val="24"/>
                <w:szCs w:val="24"/>
              </w:rPr>
              <w:t xml:space="preserve"> </w:t>
            </w:r>
            <w:r>
              <w:rPr>
                <w:rFonts w:ascii="Arial" w:hAnsi="Arial" w:cs="Arial"/>
                <w:color w:val="000000" w:themeColor="text1"/>
                <w:sz w:val="24"/>
                <w:szCs w:val="24"/>
              </w:rPr>
              <w:t>July</w:t>
            </w:r>
            <w:r w:rsidR="00411916">
              <w:rPr>
                <w:rFonts w:ascii="Arial" w:hAnsi="Arial" w:cs="Arial"/>
                <w:color w:val="000000" w:themeColor="text1"/>
                <w:sz w:val="24"/>
                <w:szCs w:val="24"/>
              </w:rPr>
              <w:t xml:space="preserve"> </w:t>
            </w:r>
            <w:r w:rsidR="00454E8A">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C15DBE" w:rsidRDefault="00F76C24" w:rsidP="00C15DBE">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The Disaster Response Management Bureau (</w:t>
            </w:r>
            <w:r w:rsidR="00C43BDA" w:rsidRPr="00BE43F9">
              <w:rPr>
                <w:rFonts w:ascii="Arial" w:eastAsia="Arial" w:hAnsi="Arial" w:cs="Arial"/>
                <w:sz w:val="24"/>
                <w:szCs w:val="24"/>
              </w:rPr>
              <w:t>DRMB</w:t>
            </w:r>
            <w:r>
              <w:rPr>
                <w:rFonts w:ascii="Arial" w:eastAsia="Arial" w:hAnsi="Arial" w:cs="Arial"/>
                <w:sz w:val="24"/>
                <w:szCs w:val="24"/>
              </w:rPr>
              <w:t>)</w:t>
            </w:r>
            <w:r w:rsidR="00C43BDA" w:rsidRPr="00BE43F9">
              <w:rPr>
                <w:rFonts w:ascii="Arial" w:eastAsia="Arial" w:hAnsi="Arial" w:cs="Arial"/>
                <w:sz w:val="24"/>
                <w:szCs w:val="24"/>
              </w:rPr>
              <w:t xml:space="preserve"> is </w:t>
            </w:r>
            <w:r w:rsidR="00CA0BE7">
              <w:rPr>
                <w:rFonts w:ascii="Arial" w:eastAsia="Arial" w:hAnsi="Arial" w:cs="Arial"/>
                <w:sz w:val="24"/>
                <w:szCs w:val="24"/>
              </w:rPr>
              <w:t>on</w:t>
            </w:r>
            <w:r w:rsidR="00D700D1">
              <w:rPr>
                <w:rFonts w:ascii="Arial" w:eastAsia="Arial" w:hAnsi="Arial" w:cs="Arial"/>
                <w:sz w:val="24"/>
                <w:szCs w:val="24"/>
              </w:rPr>
              <w:t xml:space="preserve"> </w:t>
            </w:r>
            <w:r w:rsidR="00F31F0A" w:rsidRPr="00F31F0A">
              <w:rPr>
                <w:rFonts w:ascii="Arial" w:eastAsia="Arial" w:hAnsi="Arial" w:cs="Arial"/>
                <w:b/>
                <w:color w:val="0070C0"/>
                <w:sz w:val="24"/>
                <w:szCs w:val="24"/>
              </w:rPr>
              <w:t>BLUE</w:t>
            </w:r>
            <w:r w:rsidR="00D700D1">
              <w:rPr>
                <w:rFonts w:ascii="Arial" w:eastAsia="Arial" w:hAnsi="Arial" w:cs="Arial"/>
                <w:sz w:val="24"/>
                <w:szCs w:val="24"/>
              </w:rPr>
              <w:t xml:space="preserve"> Alert </w:t>
            </w:r>
            <w:r w:rsidR="00F31F0A">
              <w:rPr>
                <w:rFonts w:ascii="Arial" w:eastAsia="Arial" w:hAnsi="Arial" w:cs="Arial"/>
                <w:sz w:val="24"/>
                <w:szCs w:val="24"/>
              </w:rPr>
              <w:t>Status</w:t>
            </w:r>
            <w:r w:rsidR="00D700D1">
              <w:rPr>
                <w:rFonts w:ascii="Arial" w:eastAsia="Arial" w:hAnsi="Arial" w:cs="Arial"/>
                <w:sz w:val="24"/>
                <w:szCs w:val="24"/>
              </w:rPr>
              <w:t xml:space="preserve"> and is </w:t>
            </w:r>
            <w:r w:rsidR="00364FB5" w:rsidRPr="00BE43F9">
              <w:rPr>
                <w:rFonts w:ascii="Arial" w:eastAsia="Arial" w:hAnsi="Arial" w:cs="Arial"/>
                <w:sz w:val="24"/>
                <w:szCs w:val="24"/>
              </w:rPr>
              <w:t>closely coordinating</w:t>
            </w:r>
            <w:r w:rsidR="00C43BDA"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00C43BDA" w:rsidRPr="00BE43F9">
              <w:rPr>
                <w:rFonts w:ascii="Arial" w:eastAsia="Arial" w:hAnsi="Arial" w:cs="Arial"/>
                <w:sz w:val="24"/>
                <w:szCs w:val="24"/>
              </w:rPr>
              <w:t>DSWD-Field Offices for significant disaster pr</w:t>
            </w:r>
            <w:r w:rsidR="00C15DBE">
              <w:rPr>
                <w:rFonts w:ascii="Arial" w:eastAsia="Arial" w:hAnsi="Arial" w:cs="Arial"/>
                <w:sz w:val="24"/>
                <w:szCs w:val="24"/>
              </w:rPr>
              <w:t>eparedness for response updates.</w:t>
            </w:r>
          </w:p>
          <w:p w:rsidR="00C15DBE" w:rsidRPr="00C15DBE" w:rsidRDefault="00C15DBE" w:rsidP="00C15DBE">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sidRPr="00C15DBE">
              <w:rPr>
                <w:rFonts w:ascii="Arial" w:hAnsi="Arial" w:cs="Arial"/>
                <w:color w:val="000000" w:themeColor="text1"/>
                <w:sz w:val="24"/>
                <w:szCs w:val="24"/>
              </w:rPr>
              <w:t>All QRT members and emergency equipment are on standby and ready for deployment.</w:t>
            </w:r>
          </w:p>
        </w:tc>
      </w:tr>
    </w:tbl>
    <w:p w:rsidR="001E1043" w:rsidRPr="00BE43F9" w:rsidRDefault="001E104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515F7A">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515F7A" w:rsidRDefault="00515F7A" w:rsidP="00515F7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515F7A">
              <w:rPr>
                <w:rFonts w:ascii="Arial" w:hAnsi="Arial" w:cs="Arial"/>
                <w:color w:val="000000" w:themeColor="text1"/>
                <w:sz w:val="24"/>
                <w:szCs w:val="24"/>
              </w:rPr>
              <w:t>01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3A59" w:rsidRDefault="00515F7A"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The Disaster Response Operations Monitoring and Information Center (DROMIC) of the DSWD-FO CAR is on standby alert and is continuously monitoring the situation on the different provinces.</w:t>
            </w:r>
          </w:p>
          <w:p w:rsidR="00150E80" w:rsidRPr="00150E80" w:rsidRDefault="00515F7A" w:rsidP="00150E80">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P/SWAD PDOs were on</w:t>
            </w:r>
            <w:r w:rsidR="00150E80">
              <w:rPr>
                <w:rFonts w:ascii="Arial" w:eastAsia="Arial" w:hAnsi="Arial" w:cs="Arial"/>
                <w:sz w:val="24"/>
                <w:szCs w:val="24"/>
              </w:rPr>
              <w:t xml:space="preserve"> standby alert for possible effects of the typhoon.</w:t>
            </w:r>
          </w:p>
        </w:tc>
      </w:tr>
    </w:tbl>
    <w:p w:rsidR="00904E27" w:rsidRDefault="00904E27"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150E80">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4B7668" w:rsidRDefault="004B7668" w:rsidP="004B766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Pr>
                <w:rFonts w:ascii="Arial" w:hAnsi="Arial" w:cs="Arial"/>
                <w:color w:val="000000" w:themeColor="text1"/>
                <w:sz w:val="24"/>
                <w:szCs w:val="24"/>
              </w:rPr>
              <w:t xml:space="preserve">01 </w:t>
            </w:r>
            <w:r w:rsidRPr="004B7668">
              <w:rPr>
                <w:rFonts w:ascii="Arial" w:hAnsi="Arial" w:cs="Arial"/>
                <w:color w:val="000000" w:themeColor="text1"/>
                <w:sz w:val="24"/>
                <w:szCs w:val="24"/>
              </w:rPr>
              <w:t>J</w:t>
            </w:r>
            <w:r w:rsidR="00150E80" w:rsidRPr="004B7668">
              <w:rPr>
                <w:rFonts w:ascii="Arial" w:hAnsi="Arial" w:cs="Arial"/>
                <w:color w:val="000000" w:themeColor="text1"/>
                <w:sz w:val="24"/>
                <w:szCs w:val="24"/>
              </w:rPr>
              <w:t>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7668" w:rsidRPr="004808D9" w:rsidRDefault="004B7668" w:rsidP="004B7668">
            <w:pPr>
              <w:pStyle w:val="ListParagraph"/>
              <w:numPr>
                <w:ilvl w:val="0"/>
                <w:numId w:val="5"/>
              </w:numPr>
              <w:spacing w:after="0" w:line="240" w:lineRule="auto"/>
              <w:ind w:left="322" w:hanging="322"/>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sidR="004808D9">
              <w:rPr>
                <w:rFonts w:ascii="Arial" w:eastAsia="Arial" w:hAnsi="Arial" w:cs="Arial"/>
                <w:sz w:val="24"/>
                <w:szCs w:val="24"/>
              </w:rPr>
              <w:t>CALABARZON</w:t>
            </w:r>
            <w:r w:rsidRPr="00223D7C">
              <w:rPr>
                <w:rFonts w:ascii="Arial" w:eastAsia="Arial" w:hAnsi="Arial" w:cs="Arial"/>
                <w:sz w:val="24"/>
                <w:szCs w:val="24"/>
              </w:rPr>
              <w:t xml:space="preserve"> </w:t>
            </w:r>
            <w:r w:rsidRPr="004808D9">
              <w:rPr>
                <w:rFonts w:ascii="Arial" w:eastAsia="Arial" w:hAnsi="Arial" w:cs="Arial"/>
                <w:sz w:val="24"/>
                <w:szCs w:val="24"/>
              </w:rPr>
              <w:t>Emergency Operations Center</w:t>
            </w:r>
            <w:r w:rsidR="004808D9">
              <w:rPr>
                <w:rFonts w:ascii="Arial" w:eastAsia="Arial" w:hAnsi="Arial" w:cs="Arial"/>
                <w:sz w:val="24"/>
                <w:szCs w:val="24"/>
              </w:rPr>
              <w:t xml:space="preserve"> (</w:t>
            </w:r>
            <w:proofErr w:type="spellStart"/>
            <w:r w:rsidR="004808D9">
              <w:rPr>
                <w:rFonts w:ascii="Arial" w:eastAsia="Arial" w:hAnsi="Arial" w:cs="Arial"/>
                <w:sz w:val="24"/>
                <w:szCs w:val="24"/>
              </w:rPr>
              <w:t>OpCen</w:t>
            </w:r>
            <w:proofErr w:type="spellEnd"/>
            <w:r w:rsidR="004808D9">
              <w:rPr>
                <w:rFonts w:ascii="Arial" w:eastAsia="Arial" w:hAnsi="Arial" w:cs="Arial"/>
                <w:sz w:val="24"/>
                <w:szCs w:val="24"/>
              </w:rPr>
              <w:t>)</w:t>
            </w:r>
            <w:r w:rsidRPr="004808D9">
              <w:rPr>
                <w:rFonts w:ascii="Arial" w:eastAsia="Arial" w:hAnsi="Arial" w:cs="Arial"/>
                <w:sz w:val="24"/>
                <w:szCs w:val="24"/>
              </w:rPr>
              <w:t xml:space="preserve"> is already activated to monitor the</w:t>
            </w:r>
            <w:r w:rsidRPr="004808D9">
              <w:rPr>
                <w:rFonts w:ascii="Arial" w:eastAsia="Arial" w:hAnsi="Arial" w:cs="Arial"/>
                <w:sz w:val="24"/>
                <w:szCs w:val="24"/>
              </w:rPr>
              <w:t xml:space="preserve"> </w:t>
            </w:r>
            <w:r w:rsidR="004808D9">
              <w:rPr>
                <w:rFonts w:ascii="Arial" w:eastAsia="Arial" w:hAnsi="Arial" w:cs="Arial"/>
                <w:sz w:val="24"/>
                <w:szCs w:val="24"/>
              </w:rPr>
              <w:t xml:space="preserve">possible effects of TD </w:t>
            </w:r>
            <w:proofErr w:type="spellStart"/>
            <w:r w:rsidR="004808D9">
              <w:rPr>
                <w:rFonts w:ascii="Arial" w:eastAsia="Arial" w:hAnsi="Arial" w:cs="Arial"/>
                <w:sz w:val="24"/>
                <w:szCs w:val="24"/>
              </w:rPr>
              <w:t>Egay</w:t>
            </w:r>
            <w:proofErr w:type="spellEnd"/>
            <w:r w:rsidR="004808D9">
              <w:rPr>
                <w:rFonts w:ascii="Arial" w:eastAsia="Arial" w:hAnsi="Arial" w:cs="Arial"/>
                <w:sz w:val="24"/>
                <w:szCs w:val="24"/>
              </w:rPr>
              <w:t>.</w:t>
            </w:r>
          </w:p>
          <w:p w:rsidR="004B7668" w:rsidRDefault="004B7668" w:rsidP="004B7668">
            <w:pPr>
              <w:pStyle w:val="ListParagraph"/>
              <w:numPr>
                <w:ilvl w:val="0"/>
                <w:numId w:val="5"/>
              </w:numPr>
              <w:spacing w:after="0" w:line="240" w:lineRule="auto"/>
              <w:ind w:left="322" w:hanging="322"/>
              <w:jc w:val="both"/>
              <w:rPr>
                <w:rFonts w:ascii="Arial" w:eastAsia="Arial" w:hAnsi="Arial" w:cs="Arial"/>
                <w:sz w:val="24"/>
                <w:szCs w:val="24"/>
              </w:rPr>
            </w:pPr>
            <w:r w:rsidRPr="004808D9">
              <w:rPr>
                <w:rFonts w:ascii="Arial" w:eastAsia="Arial" w:hAnsi="Arial" w:cs="Arial"/>
                <w:sz w:val="24"/>
                <w:szCs w:val="24"/>
              </w:rPr>
              <w:t>DSWD-FO CALABARZON through the</w:t>
            </w:r>
            <w:r w:rsidRPr="004808D9">
              <w:rPr>
                <w:rFonts w:ascii="Arial" w:eastAsia="Arial" w:hAnsi="Arial" w:cs="Arial"/>
                <w:sz w:val="24"/>
                <w:szCs w:val="24"/>
              </w:rPr>
              <w:t xml:space="preserve"> D</w:t>
            </w:r>
            <w:r w:rsidRPr="004808D9">
              <w:rPr>
                <w:rFonts w:ascii="Arial" w:eastAsia="Arial" w:hAnsi="Arial" w:cs="Arial"/>
                <w:sz w:val="24"/>
                <w:szCs w:val="24"/>
              </w:rPr>
              <w:t>isaster</w:t>
            </w:r>
            <w:r>
              <w:rPr>
                <w:rFonts w:ascii="Arial" w:eastAsia="Arial" w:hAnsi="Arial" w:cs="Arial"/>
                <w:sz w:val="24"/>
                <w:szCs w:val="24"/>
              </w:rPr>
              <w:t xml:space="preserve"> Response Management Division (DRMD)</w:t>
            </w:r>
            <w:r w:rsidRPr="004B7668">
              <w:rPr>
                <w:rFonts w:ascii="Arial" w:eastAsia="Arial" w:hAnsi="Arial" w:cs="Arial"/>
                <w:sz w:val="24"/>
                <w:szCs w:val="24"/>
              </w:rPr>
              <w:t xml:space="preserve"> has been maintaining contact and constant communication with the</w:t>
            </w:r>
            <w:r>
              <w:rPr>
                <w:rFonts w:ascii="Arial" w:eastAsia="Arial" w:hAnsi="Arial" w:cs="Arial"/>
                <w:sz w:val="24"/>
                <w:szCs w:val="24"/>
              </w:rPr>
              <w:t xml:space="preserve"> </w:t>
            </w:r>
            <w:r w:rsidRPr="004B7668">
              <w:rPr>
                <w:rFonts w:ascii="Arial" w:eastAsia="Arial" w:hAnsi="Arial" w:cs="Arial"/>
                <w:sz w:val="24"/>
                <w:szCs w:val="24"/>
              </w:rPr>
              <w:t>Local Social Welfare and Development Of</w:t>
            </w:r>
            <w:r>
              <w:rPr>
                <w:rFonts w:ascii="Arial" w:eastAsia="Arial" w:hAnsi="Arial" w:cs="Arial"/>
                <w:sz w:val="24"/>
                <w:szCs w:val="24"/>
              </w:rPr>
              <w:t xml:space="preserve">fices (LSWDOs) with pre-disaster </w:t>
            </w:r>
            <w:r w:rsidRPr="004B7668">
              <w:rPr>
                <w:rFonts w:ascii="Arial" w:eastAsia="Arial" w:hAnsi="Arial" w:cs="Arial"/>
                <w:sz w:val="24"/>
                <w:szCs w:val="24"/>
              </w:rPr>
              <w:t>assessments being conducted.</w:t>
            </w:r>
          </w:p>
          <w:p w:rsidR="004808D9" w:rsidRPr="004808D9" w:rsidRDefault="004808D9" w:rsidP="004808D9">
            <w:pPr>
              <w:pStyle w:val="ListParagraph"/>
              <w:numPr>
                <w:ilvl w:val="0"/>
                <w:numId w:val="5"/>
              </w:numPr>
              <w:spacing w:after="0" w:line="240" w:lineRule="auto"/>
              <w:ind w:left="322" w:hanging="322"/>
              <w:jc w:val="both"/>
              <w:rPr>
                <w:rFonts w:ascii="Arial" w:eastAsia="Arial" w:hAnsi="Arial" w:cs="Arial"/>
                <w:sz w:val="24"/>
                <w:szCs w:val="24"/>
              </w:rPr>
            </w:pPr>
            <w:r>
              <w:rPr>
                <w:rFonts w:ascii="Arial" w:eastAsia="Arial" w:hAnsi="Arial" w:cs="Arial"/>
                <w:sz w:val="24"/>
                <w:szCs w:val="24"/>
              </w:rPr>
              <w:t xml:space="preserve">DSWD-FO CALABARZON instructed </w:t>
            </w:r>
            <w:r w:rsidRPr="004B7668">
              <w:rPr>
                <w:rFonts w:ascii="Arial" w:eastAsia="Arial" w:hAnsi="Arial" w:cs="Arial"/>
                <w:sz w:val="24"/>
                <w:szCs w:val="24"/>
              </w:rPr>
              <w:t xml:space="preserve">LSWDOs and LDRRMOs </w:t>
            </w:r>
            <w:r>
              <w:rPr>
                <w:rFonts w:ascii="Arial" w:eastAsia="Arial" w:hAnsi="Arial" w:cs="Arial"/>
                <w:sz w:val="24"/>
                <w:szCs w:val="24"/>
              </w:rPr>
              <w:t xml:space="preserve">to be on standby alert and to </w:t>
            </w:r>
            <w:r w:rsidRPr="004B7668">
              <w:rPr>
                <w:rFonts w:ascii="Arial" w:eastAsia="Arial" w:hAnsi="Arial" w:cs="Arial"/>
                <w:sz w:val="24"/>
                <w:szCs w:val="24"/>
              </w:rPr>
              <w:t>prepare their respective evacuation centers, and family food</w:t>
            </w:r>
            <w:r>
              <w:rPr>
                <w:rFonts w:ascii="Arial" w:eastAsia="Arial" w:hAnsi="Arial" w:cs="Arial"/>
                <w:sz w:val="24"/>
                <w:szCs w:val="24"/>
              </w:rPr>
              <w:t xml:space="preserve"> </w:t>
            </w:r>
            <w:r w:rsidRPr="004B7668">
              <w:rPr>
                <w:rFonts w:ascii="Arial" w:eastAsia="Arial" w:hAnsi="Arial" w:cs="Arial"/>
                <w:sz w:val="24"/>
                <w:szCs w:val="24"/>
              </w:rPr>
              <w:t>packs should need arises.</w:t>
            </w:r>
          </w:p>
          <w:p w:rsidR="004B7668" w:rsidRDefault="004B7668" w:rsidP="004B7668">
            <w:pPr>
              <w:pStyle w:val="ListParagraph"/>
              <w:numPr>
                <w:ilvl w:val="0"/>
                <w:numId w:val="5"/>
              </w:numPr>
              <w:spacing w:after="0" w:line="240" w:lineRule="auto"/>
              <w:ind w:left="322" w:hanging="322"/>
              <w:jc w:val="both"/>
              <w:rPr>
                <w:rFonts w:ascii="Arial" w:eastAsia="Arial" w:hAnsi="Arial" w:cs="Arial"/>
                <w:sz w:val="24"/>
                <w:szCs w:val="24"/>
              </w:rPr>
            </w:pPr>
            <w:r>
              <w:rPr>
                <w:rFonts w:ascii="Arial" w:eastAsia="Arial" w:hAnsi="Arial" w:cs="Arial"/>
                <w:sz w:val="24"/>
                <w:szCs w:val="24"/>
              </w:rPr>
              <w:t>DSWD-FO CALABARZON c</w:t>
            </w:r>
            <w:r w:rsidRPr="004B7668">
              <w:rPr>
                <w:rFonts w:ascii="Arial" w:eastAsia="Arial" w:hAnsi="Arial" w:cs="Arial"/>
                <w:sz w:val="24"/>
                <w:szCs w:val="24"/>
              </w:rPr>
              <w:t>oordinated with SWAD Team Leaders a</w:t>
            </w:r>
            <w:r>
              <w:rPr>
                <w:rFonts w:ascii="Arial" w:eastAsia="Arial" w:hAnsi="Arial" w:cs="Arial"/>
                <w:sz w:val="24"/>
                <w:szCs w:val="24"/>
              </w:rPr>
              <w:t>nd Provincial Action Team of CALABARZON Provinces.</w:t>
            </w:r>
          </w:p>
          <w:p w:rsidR="004B7668" w:rsidRDefault="004B7668" w:rsidP="004B7668">
            <w:pPr>
              <w:pStyle w:val="ListParagraph"/>
              <w:numPr>
                <w:ilvl w:val="0"/>
                <w:numId w:val="5"/>
              </w:numPr>
              <w:spacing w:after="0" w:line="240" w:lineRule="auto"/>
              <w:ind w:left="322" w:hanging="322"/>
              <w:jc w:val="both"/>
              <w:rPr>
                <w:rFonts w:ascii="Arial" w:eastAsia="Arial" w:hAnsi="Arial" w:cs="Arial"/>
                <w:sz w:val="24"/>
                <w:szCs w:val="24"/>
              </w:rPr>
            </w:pPr>
            <w:r w:rsidRPr="004B7668">
              <w:rPr>
                <w:rFonts w:ascii="Arial" w:eastAsia="Arial" w:hAnsi="Arial" w:cs="Arial"/>
                <w:sz w:val="24"/>
                <w:szCs w:val="24"/>
              </w:rPr>
              <w:t xml:space="preserve">DSWD-FO CALABARZON </w:t>
            </w:r>
            <w:r>
              <w:rPr>
                <w:rFonts w:ascii="Arial" w:eastAsia="Arial" w:hAnsi="Arial" w:cs="Arial"/>
                <w:sz w:val="24"/>
                <w:szCs w:val="24"/>
              </w:rPr>
              <w:t>c</w:t>
            </w:r>
            <w:r w:rsidRPr="004B7668">
              <w:rPr>
                <w:rFonts w:ascii="Arial" w:eastAsia="Arial" w:hAnsi="Arial" w:cs="Arial"/>
                <w:sz w:val="24"/>
                <w:szCs w:val="24"/>
              </w:rPr>
              <w:t xml:space="preserve">oordinated with RDRRMC </w:t>
            </w:r>
            <w:r w:rsidR="004808D9">
              <w:rPr>
                <w:rFonts w:ascii="Arial" w:eastAsia="Arial" w:hAnsi="Arial" w:cs="Arial"/>
                <w:sz w:val="24"/>
                <w:szCs w:val="24"/>
              </w:rPr>
              <w:t>CALABARZON</w:t>
            </w:r>
            <w:r w:rsidRPr="004B7668">
              <w:rPr>
                <w:rFonts w:ascii="Arial" w:eastAsia="Arial" w:hAnsi="Arial" w:cs="Arial"/>
                <w:sz w:val="24"/>
                <w:szCs w:val="24"/>
              </w:rPr>
              <w:t xml:space="preserve"> </w:t>
            </w:r>
            <w:proofErr w:type="spellStart"/>
            <w:r w:rsidRPr="004B7668">
              <w:rPr>
                <w:rFonts w:ascii="Arial" w:eastAsia="Arial" w:hAnsi="Arial" w:cs="Arial"/>
                <w:sz w:val="24"/>
                <w:szCs w:val="24"/>
              </w:rPr>
              <w:t>OpCen</w:t>
            </w:r>
            <w:proofErr w:type="spellEnd"/>
            <w:r w:rsidRPr="004B7668">
              <w:rPr>
                <w:rFonts w:ascii="Arial" w:eastAsia="Arial" w:hAnsi="Arial" w:cs="Arial"/>
                <w:sz w:val="24"/>
                <w:szCs w:val="24"/>
              </w:rPr>
              <w:t xml:space="preserve"> for updates on the preparedness level of</w:t>
            </w:r>
            <w:r>
              <w:rPr>
                <w:rFonts w:ascii="Arial" w:eastAsia="Arial" w:hAnsi="Arial" w:cs="Arial"/>
                <w:sz w:val="24"/>
                <w:szCs w:val="24"/>
              </w:rPr>
              <w:t xml:space="preserve"> </w:t>
            </w:r>
            <w:r w:rsidRPr="004B7668">
              <w:rPr>
                <w:rFonts w:ascii="Arial" w:eastAsia="Arial" w:hAnsi="Arial" w:cs="Arial"/>
                <w:sz w:val="24"/>
                <w:szCs w:val="24"/>
              </w:rPr>
              <w:t>the members of the Response Cluster of the region.</w:t>
            </w:r>
          </w:p>
          <w:p w:rsidR="002057CB" w:rsidRDefault="004808D9" w:rsidP="002057CB">
            <w:pPr>
              <w:pStyle w:val="ListParagraph"/>
              <w:numPr>
                <w:ilvl w:val="0"/>
                <w:numId w:val="5"/>
              </w:numPr>
              <w:spacing w:after="0" w:line="240" w:lineRule="auto"/>
              <w:ind w:left="322" w:hanging="322"/>
              <w:jc w:val="both"/>
              <w:rPr>
                <w:rFonts w:ascii="Arial" w:eastAsia="Arial" w:hAnsi="Arial" w:cs="Arial"/>
                <w:sz w:val="24"/>
                <w:szCs w:val="24"/>
              </w:rPr>
            </w:pPr>
            <w:r>
              <w:rPr>
                <w:rFonts w:ascii="Arial" w:eastAsia="Arial" w:hAnsi="Arial" w:cs="Arial"/>
                <w:sz w:val="24"/>
                <w:szCs w:val="24"/>
              </w:rPr>
              <w:t>DSWD-</w:t>
            </w:r>
            <w:r w:rsidR="004B7668" w:rsidRPr="004B7668">
              <w:rPr>
                <w:rFonts w:ascii="Arial" w:eastAsia="Arial" w:hAnsi="Arial" w:cs="Arial"/>
                <w:sz w:val="24"/>
                <w:szCs w:val="24"/>
              </w:rPr>
              <w:t xml:space="preserve">FO </w:t>
            </w:r>
            <w:r>
              <w:rPr>
                <w:rFonts w:ascii="Arial" w:eastAsia="Arial" w:hAnsi="Arial" w:cs="Arial"/>
                <w:sz w:val="24"/>
                <w:szCs w:val="24"/>
              </w:rPr>
              <w:t>CALABARZON</w:t>
            </w:r>
            <w:r w:rsidR="004B7668" w:rsidRPr="004B7668">
              <w:rPr>
                <w:rFonts w:ascii="Arial" w:eastAsia="Arial" w:hAnsi="Arial" w:cs="Arial"/>
                <w:sz w:val="24"/>
                <w:szCs w:val="24"/>
              </w:rPr>
              <w:t xml:space="preserve"> has informed member agencies o</w:t>
            </w:r>
            <w:r w:rsidR="004B7668">
              <w:rPr>
                <w:rFonts w:ascii="Arial" w:eastAsia="Arial" w:hAnsi="Arial" w:cs="Arial"/>
                <w:sz w:val="24"/>
                <w:szCs w:val="24"/>
              </w:rPr>
              <w:t xml:space="preserve">f the response cluster to be on </w:t>
            </w:r>
            <w:r w:rsidR="004B7668" w:rsidRPr="004B7668">
              <w:rPr>
                <w:rFonts w:ascii="Arial" w:eastAsia="Arial" w:hAnsi="Arial" w:cs="Arial"/>
                <w:sz w:val="24"/>
                <w:szCs w:val="24"/>
              </w:rPr>
              <w:t xml:space="preserve">stand-by alert status and ready for mobilization in case </w:t>
            </w:r>
            <w:r w:rsidR="009B667B">
              <w:rPr>
                <w:rFonts w:ascii="Arial" w:eastAsia="Arial" w:hAnsi="Arial" w:cs="Arial"/>
                <w:sz w:val="24"/>
                <w:szCs w:val="24"/>
              </w:rPr>
              <w:t xml:space="preserve">the </w:t>
            </w:r>
            <w:r w:rsidR="004B7668" w:rsidRPr="004B7668">
              <w:rPr>
                <w:rFonts w:ascii="Arial" w:eastAsia="Arial" w:hAnsi="Arial" w:cs="Arial"/>
                <w:sz w:val="24"/>
                <w:szCs w:val="24"/>
              </w:rPr>
              <w:t>situation arises.</w:t>
            </w:r>
          </w:p>
          <w:p w:rsidR="004B7668" w:rsidRPr="002057CB" w:rsidRDefault="002057CB" w:rsidP="002057CB">
            <w:pPr>
              <w:pStyle w:val="ListParagraph"/>
              <w:numPr>
                <w:ilvl w:val="0"/>
                <w:numId w:val="5"/>
              </w:numPr>
              <w:spacing w:after="0" w:line="240" w:lineRule="auto"/>
              <w:ind w:left="322" w:hanging="322"/>
              <w:jc w:val="both"/>
              <w:rPr>
                <w:rFonts w:ascii="Arial" w:eastAsia="Arial" w:hAnsi="Arial" w:cs="Arial"/>
                <w:sz w:val="24"/>
                <w:szCs w:val="24"/>
              </w:rPr>
            </w:pPr>
            <w:r>
              <w:rPr>
                <w:rFonts w:ascii="Arial" w:eastAsia="Arial" w:hAnsi="Arial" w:cs="Arial"/>
                <w:sz w:val="24"/>
                <w:szCs w:val="24"/>
              </w:rPr>
              <w:lastRenderedPageBreak/>
              <w:t xml:space="preserve">The </w:t>
            </w:r>
            <w:r w:rsidRPr="002057CB">
              <w:rPr>
                <w:rFonts w:ascii="Arial" w:eastAsia="Arial" w:hAnsi="Arial" w:cs="Arial"/>
                <w:sz w:val="24"/>
                <w:szCs w:val="24"/>
              </w:rPr>
              <w:t xml:space="preserve">Disaster Response Management Division (DRMD) </w:t>
            </w:r>
            <w:r>
              <w:rPr>
                <w:rFonts w:ascii="Arial" w:eastAsia="Arial" w:hAnsi="Arial" w:cs="Arial"/>
                <w:sz w:val="24"/>
                <w:szCs w:val="24"/>
              </w:rPr>
              <w:t>of DSWD-FO CALABARZON</w:t>
            </w:r>
            <w:r w:rsidR="004B7668" w:rsidRPr="002057CB">
              <w:rPr>
                <w:rFonts w:ascii="Arial" w:eastAsia="Arial" w:hAnsi="Arial" w:cs="Arial"/>
                <w:sz w:val="24"/>
                <w:szCs w:val="24"/>
              </w:rPr>
              <w:t xml:space="preserve"> is in close coordination with the Local Government Units (LGUs) with regard to the preparedness efforts undertaken in the Flood, Landslide and Storm Surge prone areas.</w:t>
            </w:r>
          </w:p>
        </w:tc>
      </w:tr>
    </w:tbl>
    <w:p w:rsidR="00803E68" w:rsidRDefault="00803E68" w:rsidP="00816A95">
      <w:pPr>
        <w:spacing w:after="0" w:line="240" w:lineRule="auto"/>
        <w:contextualSpacing/>
        <w:rPr>
          <w:rFonts w:ascii="Arial" w:eastAsia="Arial" w:hAnsi="Arial" w:cs="Arial"/>
          <w:b/>
          <w:sz w:val="24"/>
          <w:szCs w:val="24"/>
        </w:rPr>
      </w:pPr>
    </w:p>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TD </w:t>
      </w:r>
      <w:proofErr w:type="spellStart"/>
      <w:r w:rsidR="004B7668">
        <w:rPr>
          <w:rFonts w:ascii="Arial" w:eastAsia="Arial" w:hAnsi="Arial" w:cs="Arial"/>
          <w:i/>
          <w:sz w:val="20"/>
          <w:szCs w:val="20"/>
        </w:rPr>
        <w:t>Egay</w:t>
      </w:r>
      <w:proofErr w:type="spellEnd"/>
      <w:r w:rsidR="00FF20EA">
        <w:rPr>
          <w:rFonts w:ascii="Arial" w:eastAsia="Arial" w:hAnsi="Arial" w:cs="Arial"/>
          <w:i/>
          <w:sz w:val="20"/>
          <w:szCs w:val="20"/>
        </w:rPr>
        <w:t xml:space="preserve"> 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B14C94" w:rsidP="00816A95">
      <w:pPr>
        <w:spacing w:after="0" w:line="240" w:lineRule="auto"/>
        <w:contextualSpacing/>
        <w:rPr>
          <w:rFonts w:ascii="Arial" w:eastAsia="Arial" w:hAnsi="Arial" w:cs="Arial"/>
          <w:b/>
          <w:sz w:val="24"/>
          <w:szCs w:val="24"/>
        </w:rPr>
      </w:pPr>
      <w:r>
        <w:rPr>
          <w:rFonts w:ascii="Arial" w:eastAsia="Arial" w:hAnsi="Arial" w:cs="Arial"/>
          <w:b/>
          <w:sz w:val="24"/>
          <w:szCs w:val="24"/>
        </w:rPr>
        <w:t xml:space="preserve">KIM </w:t>
      </w:r>
      <w:r w:rsidR="00F76C24">
        <w:rPr>
          <w:rFonts w:ascii="Arial" w:eastAsia="Arial" w:hAnsi="Arial" w:cs="Arial"/>
          <w:b/>
          <w:sz w:val="24"/>
          <w:szCs w:val="24"/>
        </w:rPr>
        <w:t xml:space="preserve">AUSTIN </w:t>
      </w:r>
      <w:r>
        <w:rPr>
          <w:rFonts w:ascii="Arial" w:eastAsia="Arial" w:hAnsi="Arial" w:cs="Arial"/>
          <w:b/>
          <w:sz w:val="24"/>
          <w:szCs w:val="24"/>
        </w:rPr>
        <w:t>A. ASPILLAGA</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bookmarkEnd w:id="1"/>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25" w:rsidRDefault="00B17625">
      <w:pPr>
        <w:spacing w:after="0" w:line="240" w:lineRule="auto"/>
      </w:pPr>
      <w:r>
        <w:separator/>
      </w:r>
    </w:p>
  </w:endnote>
  <w:endnote w:type="continuationSeparator" w:id="0">
    <w:p w:rsidR="00B17625" w:rsidRDefault="00B1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15DBE">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15DBE">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w:t>
    </w:r>
    <w:r w:rsidR="00816A95">
      <w:rPr>
        <w:rFonts w:ascii="Arial" w:eastAsia="Arial" w:hAnsi="Arial" w:cs="Arial"/>
        <w:sz w:val="16"/>
        <w:szCs w:val="16"/>
      </w:rPr>
      <w:t>or Response Report #1</w:t>
    </w:r>
    <w:r w:rsidR="00941CF5">
      <w:rPr>
        <w:rFonts w:ascii="Arial" w:eastAsia="Arial" w:hAnsi="Arial" w:cs="Arial"/>
        <w:sz w:val="16"/>
        <w:szCs w:val="16"/>
      </w:rPr>
      <w:t xml:space="preserve"> on TD</w:t>
    </w:r>
    <w:r>
      <w:rPr>
        <w:rFonts w:ascii="Arial" w:eastAsia="Arial" w:hAnsi="Arial" w:cs="Arial"/>
        <w:sz w:val="16"/>
        <w:szCs w:val="16"/>
      </w:rPr>
      <w:t xml:space="preserve"> “</w:t>
    </w:r>
    <w:r w:rsidR="009B667B">
      <w:rPr>
        <w:rFonts w:ascii="Arial" w:eastAsia="Arial" w:hAnsi="Arial" w:cs="Arial"/>
        <w:sz w:val="16"/>
        <w:szCs w:val="16"/>
      </w:rPr>
      <w:t>EGAY</w:t>
    </w:r>
    <w:r w:rsidR="00941CF5">
      <w:rPr>
        <w:rFonts w:ascii="Arial" w:eastAsia="Arial" w:hAnsi="Arial" w:cs="Arial"/>
        <w:sz w:val="16"/>
        <w:szCs w:val="16"/>
      </w:rPr>
      <w:t xml:space="preserve">” </w:t>
    </w:r>
    <w:r>
      <w:rPr>
        <w:rFonts w:ascii="Arial" w:eastAsia="Arial" w:hAnsi="Arial" w:cs="Arial"/>
        <w:sz w:val="16"/>
        <w:szCs w:val="16"/>
      </w:rPr>
      <w:t xml:space="preserve">as of </w:t>
    </w:r>
    <w:r w:rsidR="009B667B">
      <w:rPr>
        <w:rFonts w:ascii="Arial" w:eastAsia="Arial" w:hAnsi="Arial" w:cs="Arial"/>
        <w:sz w:val="16"/>
        <w:szCs w:val="16"/>
      </w:rPr>
      <w:t>01</w:t>
    </w:r>
    <w:r w:rsidR="00941CF5">
      <w:rPr>
        <w:rFonts w:ascii="Arial" w:eastAsia="Arial" w:hAnsi="Arial" w:cs="Arial"/>
        <w:sz w:val="16"/>
        <w:szCs w:val="16"/>
      </w:rPr>
      <w:t xml:space="preserve"> </w:t>
    </w:r>
    <w:r w:rsidR="009B667B">
      <w:rPr>
        <w:rFonts w:ascii="Arial" w:eastAsia="Arial" w:hAnsi="Arial" w:cs="Arial"/>
        <w:sz w:val="16"/>
        <w:szCs w:val="16"/>
      </w:rPr>
      <w:t>July</w:t>
    </w:r>
    <w:r w:rsidR="00816A95">
      <w:rPr>
        <w:rFonts w:ascii="Arial" w:eastAsia="Arial" w:hAnsi="Arial" w:cs="Arial"/>
        <w:sz w:val="16"/>
        <w:szCs w:val="16"/>
      </w:rPr>
      <w:t xml:space="preserve"> </w:t>
    </w:r>
    <w:r w:rsidR="002057CB">
      <w:rPr>
        <w:rFonts w:ascii="Arial" w:eastAsia="Arial" w:hAnsi="Arial" w:cs="Arial"/>
        <w:sz w:val="16"/>
        <w:szCs w:val="16"/>
      </w:rPr>
      <w:t>2019, 5</w:t>
    </w:r>
    <w:r w:rsidR="00A846B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25" w:rsidRDefault="00B17625">
      <w:pPr>
        <w:spacing w:after="0" w:line="240" w:lineRule="auto"/>
      </w:pPr>
      <w:r>
        <w:separator/>
      </w:r>
    </w:p>
  </w:footnote>
  <w:footnote w:type="continuationSeparator" w:id="0">
    <w:p w:rsidR="00B17625" w:rsidRDefault="00B1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7376E"/>
    <w:multiLevelType w:val="hybridMultilevel"/>
    <w:tmpl w:val="94608A64"/>
    <w:lvl w:ilvl="0" w:tplc="14D6DCB4">
      <w:start w:val="1"/>
      <w:numFmt w:val="decimalZero"/>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5"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6"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5F83608"/>
    <w:multiLevelType w:val="hybridMultilevel"/>
    <w:tmpl w:val="B058CE5E"/>
    <w:lvl w:ilvl="0" w:tplc="963E39AA">
      <w:start w:val="1"/>
      <w:numFmt w:val="decimalZero"/>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F28184E"/>
    <w:multiLevelType w:val="hybridMultilevel"/>
    <w:tmpl w:val="1DC0D1CA"/>
    <w:lvl w:ilvl="0" w:tplc="33EE84C6">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25"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33AD8"/>
    <w:multiLevelType w:val="hybridMultilevel"/>
    <w:tmpl w:val="41327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6D24A08"/>
    <w:multiLevelType w:val="hybridMultilevel"/>
    <w:tmpl w:val="143CC31C"/>
    <w:lvl w:ilvl="0" w:tplc="27622EBA">
      <w:start w:val="1"/>
      <w:numFmt w:val="decimalZero"/>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ACC60A2"/>
    <w:multiLevelType w:val="hybridMultilevel"/>
    <w:tmpl w:val="C6FE93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AE82238"/>
    <w:multiLevelType w:val="hybridMultilevel"/>
    <w:tmpl w:val="C622B388"/>
    <w:lvl w:ilvl="0" w:tplc="41E0C2E0">
      <w:start w:val="1"/>
      <w:numFmt w:val="decimalZero"/>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B351552"/>
    <w:multiLevelType w:val="hybridMultilevel"/>
    <w:tmpl w:val="62BAD4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3" w15:restartNumberingAfterBreak="0">
    <w:nsid w:val="6E4F22B6"/>
    <w:multiLevelType w:val="hybridMultilevel"/>
    <w:tmpl w:val="B0286E40"/>
    <w:lvl w:ilvl="0" w:tplc="DFCC5072">
      <w:start w:val="1"/>
      <w:numFmt w:val="decimalZero"/>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5" w15:restartNumberingAfterBreak="0">
    <w:nsid w:val="765A3B69"/>
    <w:multiLevelType w:val="hybridMultilevel"/>
    <w:tmpl w:val="CBDEA5E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AE9193A"/>
    <w:multiLevelType w:val="hybridMultilevel"/>
    <w:tmpl w:val="4006B6D4"/>
    <w:lvl w:ilvl="0" w:tplc="73481A60">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8" w15:restartNumberingAfterBreak="0">
    <w:nsid w:val="7BC75F93"/>
    <w:multiLevelType w:val="hybridMultilevel"/>
    <w:tmpl w:val="74181EC0"/>
    <w:lvl w:ilvl="0" w:tplc="2332A12A">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9"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9"/>
  </w:num>
  <w:num w:numId="2">
    <w:abstractNumId w:val="27"/>
  </w:num>
  <w:num w:numId="3">
    <w:abstractNumId w:val="7"/>
  </w:num>
  <w:num w:numId="4">
    <w:abstractNumId w:val="6"/>
  </w:num>
  <w:num w:numId="5">
    <w:abstractNumId w:val="19"/>
  </w:num>
  <w:num w:numId="6">
    <w:abstractNumId w:val="37"/>
  </w:num>
  <w:num w:numId="7">
    <w:abstractNumId w:val="42"/>
  </w:num>
  <w:num w:numId="8">
    <w:abstractNumId w:val="20"/>
  </w:num>
  <w:num w:numId="9">
    <w:abstractNumId w:val="33"/>
  </w:num>
  <w:num w:numId="10">
    <w:abstractNumId w:val="14"/>
  </w:num>
  <w:num w:numId="11">
    <w:abstractNumId w:val="34"/>
  </w:num>
  <w:num w:numId="12">
    <w:abstractNumId w:val="17"/>
  </w:num>
  <w:num w:numId="13">
    <w:abstractNumId w:val="5"/>
  </w:num>
  <w:num w:numId="14">
    <w:abstractNumId w:val="0"/>
  </w:num>
  <w:num w:numId="15">
    <w:abstractNumId w:val="29"/>
  </w:num>
  <w:num w:numId="16">
    <w:abstractNumId w:val="2"/>
  </w:num>
  <w:num w:numId="17">
    <w:abstractNumId w:val="8"/>
  </w:num>
  <w:num w:numId="18">
    <w:abstractNumId w:val="26"/>
  </w:num>
  <w:num w:numId="19">
    <w:abstractNumId w:val="13"/>
  </w:num>
  <w:num w:numId="20">
    <w:abstractNumId w:val="25"/>
  </w:num>
  <w:num w:numId="21">
    <w:abstractNumId w:val="12"/>
  </w:num>
  <w:num w:numId="22">
    <w:abstractNumId w:val="15"/>
  </w:num>
  <w:num w:numId="23">
    <w:abstractNumId w:val="44"/>
  </w:num>
  <w:num w:numId="24">
    <w:abstractNumId w:val="16"/>
  </w:num>
  <w:num w:numId="25">
    <w:abstractNumId w:val="31"/>
  </w:num>
  <w:num w:numId="26">
    <w:abstractNumId w:val="1"/>
  </w:num>
  <w:num w:numId="27">
    <w:abstractNumId w:val="46"/>
  </w:num>
  <w:num w:numId="28">
    <w:abstractNumId w:val="3"/>
  </w:num>
  <w:num w:numId="29">
    <w:abstractNumId w:val="4"/>
  </w:num>
  <w:num w:numId="30">
    <w:abstractNumId w:val="9"/>
  </w:num>
  <w:num w:numId="31">
    <w:abstractNumId w:val="22"/>
  </w:num>
  <w:num w:numId="32">
    <w:abstractNumId w:val="18"/>
  </w:num>
  <w:num w:numId="33">
    <w:abstractNumId w:val="30"/>
  </w:num>
  <w:num w:numId="34">
    <w:abstractNumId w:val="41"/>
  </w:num>
  <w:num w:numId="35">
    <w:abstractNumId w:val="40"/>
  </w:num>
  <w:num w:numId="36">
    <w:abstractNumId w:val="38"/>
  </w:num>
  <w:num w:numId="37">
    <w:abstractNumId w:val="45"/>
  </w:num>
  <w:num w:numId="38">
    <w:abstractNumId w:val="32"/>
  </w:num>
  <w:num w:numId="39">
    <w:abstractNumId w:val="10"/>
  </w:num>
  <w:num w:numId="40">
    <w:abstractNumId w:val="23"/>
  </w:num>
  <w:num w:numId="41">
    <w:abstractNumId w:val="48"/>
  </w:num>
  <w:num w:numId="42">
    <w:abstractNumId w:val="35"/>
  </w:num>
  <w:num w:numId="43">
    <w:abstractNumId w:val="28"/>
  </w:num>
  <w:num w:numId="44">
    <w:abstractNumId w:val="47"/>
  </w:num>
  <w:num w:numId="45">
    <w:abstractNumId w:val="24"/>
  </w:num>
  <w:num w:numId="46">
    <w:abstractNumId w:val="43"/>
  </w:num>
  <w:num w:numId="47">
    <w:abstractNumId w:val="36"/>
  </w:num>
  <w:num w:numId="48">
    <w:abstractNumId w:val="39"/>
  </w:num>
  <w:num w:numId="49">
    <w:abstractNumId w:val="2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59C0"/>
    <w:rsid w:val="000362A4"/>
    <w:rsid w:val="000408C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E09D8"/>
    <w:rsid w:val="000E381D"/>
    <w:rsid w:val="000F10AC"/>
    <w:rsid w:val="000F1F6C"/>
    <w:rsid w:val="000F3578"/>
    <w:rsid w:val="00103A30"/>
    <w:rsid w:val="00110F51"/>
    <w:rsid w:val="00114D5E"/>
    <w:rsid w:val="00117E58"/>
    <w:rsid w:val="00122989"/>
    <w:rsid w:val="00125678"/>
    <w:rsid w:val="00150801"/>
    <w:rsid w:val="00150E80"/>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1043"/>
    <w:rsid w:val="001E26B4"/>
    <w:rsid w:val="001F0789"/>
    <w:rsid w:val="0020030B"/>
    <w:rsid w:val="00203164"/>
    <w:rsid w:val="002057CB"/>
    <w:rsid w:val="002063ED"/>
    <w:rsid w:val="002147BF"/>
    <w:rsid w:val="002233C1"/>
    <w:rsid w:val="00223D7C"/>
    <w:rsid w:val="00224A0B"/>
    <w:rsid w:val="002338D6"/>
    <w:rsid w:val="00235815"/>
    <w:rsid w:val="0024676B"/>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2EC9"/>
    <w:rsid w:val="002C1E7D"/>
    <w:rsid w:val="002C224F"/>
    <w:rsid w:val="002D3418"/>
    <w:rsid w:val="002E25AE"/>
    <w:rsid w:val="002F0FA9"/>
    <w:rsid w:val="002F5178"/>
    <w:rsid w:val="002F713F"/>
    <w:rsid w:val="003052AD"/>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6AAF"/>
    <w:rsid w:val="00447043"/>
    <w:rsid w:val="0045417C"/>
    <w:rsid w:val="00454E8A"/>
    <w:rsid w:val="00456B0E"/>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C3182"/>
    <w:rsid w:val="004C5385"/>
    <w:rsid w:val="004C55DA"/>
    <w:rsid w:val="004D1392"/>
    <w:rsid w:val="004E2DCF"/>
    <w:rsid w:val="004F27B7"/>
    <w:rsid w:val="004F68F5"/>
    <w:rsid w:val="005073A3"/>
    <w:rsid w:val="005101BD"/>
    <w:rsid w:val="0051518E"/>
    <w:rsid w:val="005156DC"/>
    <w:rsid w:val="00515F7A"/>
    <w:rsid w:val="00524A25"/>
    <w:rsid w:val="00543A35"/>
    <w:rsid w:val="00543D61"/>
    <w:rsid w:val="00544DE0"/>
    <w:rsid w:val="00546DEE"/>
    <w:rsid w:val="00557D52"/>
    <w:rsid w:val="0056425D"/>
    <w:rsid w:val="00580432"/>
    <w:rsid w:val="00583D8D"/>
    <w:rsid w:val="0059459E"/>
    <w:rsid w:val="00594DB7"/>
    <w:rsid w:val="005A4EFD"/>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2851"/>
    <w:rsid w:val="0074516B"/>
    <w:rsid w:val="00752F0C"/>
    <w:rsid w:val="007567CA"/>
    <w:rsid w:val="007650E4"/>
    <w:rsid w:val="0077257F"/>
    <w:rsid w:val="00773A7E"/>
    <w:rsid w:val="00774B9D"/>
    <w:rsid w:val="00775377"/>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48D8"/>
    <w:rsid w:val="00876F3E"/>
    <w:rsid w:val="008774FE"/>
    <w:rsid w:val="0087788A"/>
    <w:rsid w:val="00885E31"/>
    <w:rsid w:val="008C4874"/>
    <w:rsid w:val="008C5231"/>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54D0D"/>
    <w:rsid w:val="009650DC"/>
    <w:rsid w:val="009808F1"/>
    <w:rsid w:val="00984253"/>
    <w:rsid w:val="00986677"/>
    <w:rsid w:val="00990989"/>
    <w:rsid w:val="009A5F9E"/>
    <w:rsid w:val="009B16FB"/>
    <w:rsid w:val="009B3D59"/>
    <w:rsid w:val="009B63D8"/>
    <w:rsid w:val="009B667B"/>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15DBE"/>
    <w:rsid w:val="00C33267"/>
    <w:rsid w:val="00C43BDA"/>
    <w:rsid w:val="00C455D0"/>
    <w:rsid w:val="00C47CBF"/>
    <w:rsid w:val="00C53D82"/>
    <w:rsid w:val="00C60386"/>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25D1"/>
    <w:rsid w:val="00D368FB"/>
    <w:rsid w:val="00D43941"/>
    <w:rsid w:val="00D46740"/>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F0291A"/>
    <w:rsid w:val="00F0378F"/>
    <w:rsid w:val="00F10727"/>
    <w:rsid w:val="00F119B5"/>
    <w:rsid w:val="00F1590E"/>
    <w:rsid w:val="00F20E47"/>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CEA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540E-C53F-414B-A87C-EE169559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Marie Joyce G. Rafanan</cp:lastModifiedBy>
  <cp:revision>5</cp:revision>
  <dcterms:created xsi:type="dcterms:W3CDTF">2019-07-01T09:08:00Z</dcterms:created>
  <dcterms:modified xsi:type="dcterms:W3CDTF">2019-07-01T09:22:00Z</dcterms:modified>
</cp:coreProperties>
</file>