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3360" w:rsidRPr="00BE43F9"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546DEE" w:rsidRPr="00BE43F9">
        <w:rPr>
          <w:rFonts w:ascii="Arial" w:eastAsia="Arial" w:hAnsi="Arial" w:cs="Arial"/>
          <w:b/>
          <w:sz w:val="32"/>
          <w:szCs w:val="24"/>
        </w:rPr>
        <w:t xml:space="preserve"> </w:t>
      </w:r>
      <w:r w:rsidRPr="00BE43F9">
        <w:rPr>
          <w:rFonts w:ascii="Arial" w:eastAsia="Arial" w:hAnsi="Arial" w:cs="Arial"/>
          <w:b/>
          <w:sz w:val="32"/>
          <w:szCs w:val="24"/>
        </w:rPr>
        <w:t>#</w:t>
      </w:r>
      <w:r w:rsidR="007412EE">
        <w:rPr>
          <w:rFonts w:ascii="Arial" w:eastAsia="Arial" w:hAnsi="Arial" w:cs="Arial"/>
          <w:b/>
          <w:sz w:val="32"/>
          <w:szCs w:val="24"/>
        </w:rPr>
        <w:t>2</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546DEE" w:rsidRPr="00BE43F9">
        <w:rPr>
          <w:rFonts w:ascii="Arial" w:eastAsia="Arial" w:hAnsi="Arial" w:cs="Arial"/>
          <w:b/>
          <w:sz w:val="32"/>
          <w:szCs w:val="24"/>
        </w:rPr>
        <w:t xml:space="preserve"> </w:t>
      </w:r>
    </w:p>
    <w:p w:rsidR="006A0D27" w:rsidRPr="00BE43F9" w:rsidRDefault="006A0D27" w:rsidP="00816A95">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T</w:t>
      </w:r>
      <w:r w:rsidR="00EC3360" w:rsidRPr="00BE43F9">
        <w:rPr>
          <w:rFonts w:ascii="Arial" w:eastAsia="Arial" w:hAnsi="Arial" w:cs="Arial"/>
          <w:b/>
          <w:sz w:val="32"/>
          <w:szCs w:val="24"/>
        </w:rPr>
        <w:t xml:space="preserve">ropical </w:t>
      </w:r>
      <w:r w:rsidRPr="00BE43F9">
        <w:rPr>
          <w:rFonts w:ascii="Arial" w:eastAsia="Arial" w:hAnsi="Arial" w:cs="Arial"/>
          <w:b/>
          <w:sz w:val="32"/>
          <w:szCs w:val="24"/>
        </w:rPr>
        <w:t>D</w:t>
      </w:r>
      <w:r w:rsidR="00EC3360" w:rsidRPr="00BE43F9">
        <w:rPr>
          <w:rFonts w:ascii="Arial" w:eastAsia="Arial" w:hAnsi="Arial" w:cs="Arial"/>
          <w:b/>
          <w:sz w:val="32"/>
          <w:szCs w:val="24"/>
        </w:rPr>
        <w:t>epression</w:t>
      </w:r>
      <w:r w:rsidR="00114D5E" w:rsidRPr="00BE43F9">
        <w:rPr>
          <w:rFonts w:ascii="Arial" w:eastAsia="Arial" w:hAnsi="Arial" w:cs="Arial"/>
          <w:b/>
          <w:sz w:val="32"/>
          <w:szCs w:val="24"/>
        </w:rPr>
        <w:t xml:space="preserve"> “</w:t>
      </w:r>
      <w:r w:rsidR="00971537">
        <w:rPr>
          <w:rFonts w:ascii="Arial" w:eastAsia="Arial" w:hAnsi="Arial" w:cs="Arial"/>
          <w:b/>
          <w:sz w:val="32"/>
          <w:szCs w:val="24"/>
        </w:rPr>
        <w:t>FALCON</w:t>
      </w:r>
      <w:r w:rsidR="00114D5E" w:rsidRPr="00BE43F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971537">
        <w:rPr>
          <w:rFonts w:ascii="Arial" w:eastAsia="Arial" w:hAnsi="Arial" w:cs="Arial"/>
          <w:sz w:val="24"/>
          <w:szCs w:val="24"/>
        </w:rPr>
        <w:t>16</w:t>
      </w:r>
      <w:r w:rsidR="00515F7A">
        <w:rPr>
          <w:rFonts w:ascii="Arial" w:eastAsia="Arial" w:hAnsi="Arial" w:cs="Arial"/>
          <w:sz w:val="24"/>
          <w:szCs w:val="24"/>
        </w:rPr>
        <w:t xml:space="preserve"> July</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412EE">
        <w:rPr>
          <w:rFonts w:ascii="Arial" w:eastAsia="Arial" w:hAnsi="Arial" w:cs="Arial"/>
          <w:sz w:val="24"/>
          <w:szCs w:val="24"/>
        </w:rPr>
        <w:t>6PM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5170805</wp:posOffset>
            </wp:positionH>
            <wp:positionV relativeFrom="paragraph">
              <wp:posOffset>201295</wp:posOffset>
            </wp:positionV>
            <wp:extent cx="4564380" cy="352679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4380" cy="352679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E03166" w:rsidRPr="00E03166" w:rsidRDefault="00E03166" w:rsidP="00E03166">
      <w:pPr>
        <w:rPr>
          <w:rFonts w:ascii="Arial" w:eastAsia="Times New Roman" w:hAnsi="Arial" w:cs="Arial"/>
          <w:color w:val="auto"/>
          <w:sz w:val="24"/>
          <w:szCs w:val="24"/>
        </w:rPr>
      </w:pPr>
      <w:r w:rsidRPr="00E03166">
        <w:rPr>
          <w:rFonts w:ascii="Arial" w:hAnsi="Arial" w:cs="Arial"/>
          <w:b/>
          <w:color w:val="auto"/>
          <w:sz w:val="24"/>
          <w:szCs w:val="24"/>
        </w:rPr>
        <w:t>"FALCON" HAS INTENSIFIED INTO A TROPICAL STORM AS IT CONTINUES TO MOVE WESTWARD.</w:t>
      </w:r>
    </w:p>
    <w:p w:rsidR="00E03166" w:rsidRPr="00E03166" w:rsidRDefault="00E03166" w:rsidP="00E03166">
      <w:pPr>
        <w:pStyle w:val="ListParagraph"/>
        <w:numPr>
          <w:ilvl w:val="0"/>
          <w:numId w:val="3"/>
        </w:numPr>
        <w:rPr>
          <w:rFonts w:ascii="Arial" w:eastAsia="Times New Roman" w:hAnsi="Arial" w:cs="Arial"/>
          <w:color w:val="auto"/>
          <w:sz w:val="24"/>
          <w:szCs w:val="24"/>
        </w:rPr>
      </w:pPr>
      <w:r w:rsidRPr="00E03166">
        <w:rPr>
          <w:rFonts w:ascii="Arial" w:eastAsia="Times New Roman" w:hAnsi="Arial" w:cs="Arial"/>
          <w:color w:val="auto"/>
          <w:sz w:val="24"/>
          <w:szCs w:val="24"/>
        </w:rPr>
        <w:t>"FALCON" has intensified into a Tropical Storm at 2:00 PM today.</w:t>
      </w:r>
    </w:p>
    <w:p w:rsidR="00E03166" w:rsidRPr="00E03166" w:rsidRDefault="00E03166" w:rsidP="00E03166">
      <w:pPr>
        <w:pStyle w:val="ListParagraph"/>
        <w:numPr>
          <w:ilvl w:val="0"/>
          <w:numId w:val="3"/>
        </w:numPr>
        <w:rPr>
          <w:rFonts w:ascii="Arial" w:eastAsia="Times New Roman" w:hAnsi="Arial" w:cs="Arial"/>
          <w:color w:val="auto"/>
          <w:sz w:val="24"/>
          <w:szCs w:val="24"/>
        </w:rPr>
      </w:pPr>
      <w:r w:rsidRPr="00E03166">
        <w:rPr>
          <w:rFonts w:ascii="Arial" w:eastAsia="Times New Roman" w:hAnsi="Arial" w:cs="Arial"/>
          <w:color w:val="auto"/>
          <w:sz w:val="24"/>
          <w:szCs w:val="24"/>
        </w:rPr>
        <w:t xml:space="preserve">Between today and tomorrow afternoon, moderate to heavy rains will be experienced over </w:t>
      </w:r>
      <w:proofErr w:type="spellStart"/>
      <w:r w:rsidRPr="00E03166">
        <w:rPr>
          <w:rFonts w:ascii="Arial" w:eastAsia="Times New Roman" w:hAnsi="Arial" w:cs="Arial"/>
          <w:color w:val="auto"/>
          <w:sz w:val="24"/>
          <w:szCs w:val="24"/>
        </w:rPr>
        <w:t>Ilocos</w:t>
      </w:r>
      <w:proofErr w:type="spellEnd"/>
      <w:r w:rsidRPr="00E03166">
        <w:rPr>
          <w:rFonts w:ascii="Arial" w:eastAsia="Times New Roman" w:hAnsi="Arial" w:cs="Arial"/>
          <w:color w:val="auto"/>
          <w:sz w:val="24"/>
          <w:szCs w:val="24"/>
        </w:rPr>
        <w:t xml:space="preserve"> Region, Cordillera Administrative Region, Cagayan Valley, Nueva </w:t>
      </w:r>
      <w:proofErr w:type="spellStart"/>
      <w:r w:rsidRPr="00E03166">
        <w:rPr>
          <w:rFonts w:ascii="Arial" w:eastAsia="Times New Roman" w:hAnsi="Arial" w:cs="Arial"/>
          <w:color w:val="auto"/>
          <w:sz w:val="24"/>
          <w:szCs w:val="24"/>
        </w:rPr>
        <w:t>Ecija</w:t>
      </w:r>
      <w:proofErr w:type="spellEnd"/>
      <w:r w:rsidRPr="00E03166">
        <w:rPr>
          <w:rFonts w:ascii="Arial" w:eastAsia="Times New Roman" w:hAnsi="Arial" w:cs="Arial"/>
          <w:color w:val="auto"/>
          <w:sz w:val="24"/>
          <w:szCs w:val="24"/>
        </w:rPr>
        <w:t xml:space="preserve">, Aurora, </w:t>
      </w:r>
      <w:proofErr w:type="spellStart"/>
      <w:r w:rsidRPr="00E03166">
        <w:rPr>
          <w:rFonts w:ascii="Arial" w:eastAsia="Times New Roman" w:hAnsi="Arial" w:cs="Arial"/>
          <w:color w:val="auto"/>
          <w:sz w:val="24"/>
          <w:szCs w:val="24"/>
        </w:rPr>
        <w:t>Zambales</w:t>
      </w:r>
      <w:proofErr w:type="spellEnd"/>
      <w:r w:rsidRPr="00E03166">
        <w:rPr>
          <w:rFonts w:ascii="Arial" w:eastAsia="Times New Roman" w:hAnsi="Arial" w:cs="Arial"/>
          <w:color w:val="auto"/>
          <w:sz w:val="24"/>
          <w:szCs w:val="24"/>
        </w:rPr>
        <w:t xml:space="preserve">, Occidental Mindoro, northern Palawan including Calamian and </w:t>
      </w:r>
      <w:proofErr w:type="spellStart"/>
      <w:r w:rsidRPr="00E03166">
        <w:rPr>
          <w:rFonts w:ascii="Arial" w:eastAsia="Times New Roman" w:hAnsi="Arial" w:cs="Arial"/>
          <w:color w:val="auto"/>
          <w:sz w:val="24"/>
          <w:szCs w:val="24"/>
        </w:rPr>
        <w:t>Cuyo</w:t>
      </w:r>
      <w:proofErr w:type="spellEnd"/>
      <w:r w:rsidRPr="00E03166">
        <w:rPr>
          <w:rFonts w:ascii="Arial" w:eastAsia="Times New Roman" w:hAnsi="Arial" w:cs="Arial"/>
          <w:color w:val="auto"/>
          <w:sz w:val="24"/>
          <w:szCs w:val="24"/>
        </w:rPr>
        <w:t xml:space="preserve"> Islands, </w:t>
      </w:r>
      <w:proofErr w:type="spellStart"/>
      <w:r w:rsidRPr="00E03166">
        <w:rPr>
          <w:rFonts w:ascii="Arial" w:eastAsia="Times New Roman" w:hAnsi="Arial" w:cs="Arial"/>
          <w:color w:val="auto"/>
          <w:sz w:val="24"/>
          <w:szCs w:val="24"/>
        </w:rPr>
        <w:t>Aklan</w:t>
      </w:r>
      <w:proofErr w:type="spellEnd"/>
      <w:r w:rsidRPr="00E03166">
        <w:rPr>
          <w:rFonts w:ascii="Arial" w:eastAsia="Times New Roman" w:hAnsi="Arial" w:cs="Arial"/>
          <w:color w:val="auto"/>
          <w:sz w:val="24"/>
          <w:szCs w:val="24"/>
        </w:rPr>
        <w:t xml:space="preserve">, Antique, </w:t>
      </w:r>
      <w:proofErr w:type="spellStart"/>
      <w:r w:rsidRPr="00E03166">
        <w:rPr>
          <w:rFonts w:ascii="Arial" w:eastAsia="Times New Roman" w:hAnsi="Arial" w:cs="Arial"/>
          <w:color w:val="auto"/>
          <w:sz w:val="24"/>
          <w:szCs w:val="24"/>
        </w:rPr>
        <w:t>Capiz</w:t>
      </w:r>
      <w:proofErr w:type="spellEnd"/>
      <w:r w:rsidRPr="00E03166">
        <w:rPr>
          <w:rFonts w:ascii="Arial" w:eastAsia="Times New Roman" w:hAnsi="Arial" w:cs="Arial"/>
          <w:color w:val="auto"/>
          <w:sz w:val="24"/>
          <w:szCs w:val="24"/>
        </w:rPr>
        <w:t xml:space="preserve">, Iloilo, and </w:t>
      </w:r>
      <w:proofErr w:type="spellStart"/>
      <w:r w:rsidRPr="00E03166">
        <w:rPr>
          <w:rFonts w:ascii="Arial" w:eastAsia="Times New Roman" w:hAnsi="Arial" w:cs="Arial"/>
          <w:color w:val="auto"/>
          <w:sz w:val="24"/>
          <w:szCs w:val="24"/>
        </w:rPr>
        <w:t>Guimaras</w:t>
      </w:r>
      <w:proofErr w:type="spellEnd"/>
      <w:r w:rsidRPr="00E03166">
        <w:rPr>
          <w:rFonts w:ascii="Arial" w:eastAsia="Times New Roman" w:hAnsi="Arial" w:cs="Arial"/>
          <w:color w:val="auto"/>
          <w:sz w:val="24"/>
          <w:szCs w:val="24"/>
        </w:rPr>
        <w:t xml:space="preserve">. Meanwhile, light to moderate with at times heavy rains will be experienced over Metro Manila, CALABARZON, Bicol Region, and the rest of </w:t>
      </w:r>
      <w:proofErr w:type="spellStart"/>
      <w:r w:rsidRPr="00E03166">
        <w:rPr>
          <w:rFonts w:ascii="Arial" w:eastAsia="Times New Roman" w:hAnsi="Arial" w:cs="Arial"/>
          <w:color w:val="auto"/>
          <w:sz w:val="24"/>
          <w:szCs w:val="24"/>
        </w:rPr>
        <w:t>Visayas</w:t>
      </w:r>
      <w:proofErr w:type="spellEnd"/>
      <w:r w:rsidRPr="00E03166">
        <w:rPr>
          <w:rFonts w:ascii="Arial" w:eastAsia="Times New Roman" w:hAnsi="Arial" w:cs="Arial"/>
          <w:color w:val="auto"/>
          <w:sz w:val="24"/>
          <w:szCs w:val="24"/>
        </w:rPr>
        <w:t>, Central Luzon, and MIMAROPA.</w:t>
      </w:r>
    </w:p>
    <w:p w:rsidR="00E03166" w:rsidRPr="00E03166" w:rsidRDefault="00E03166" w:rsidP="00E03166">
      <w:pPr>
        <w:pStyle w:val="ListParagraph"/>
        <w:numPr>
          <w:ilvl w:val="0"/>
          <w:numId w:val="3"/>
        </w:numPr>
        <w:rPr>
          <w:rFonts w:ascii="Arial" w:eastAsia="Times New Roman" w:hAnsi="Arial" w:cs="Arial"/>
          <w:color w:val="auto"/>
          <w:sz w:val="24"/>
          <w:szCs w:val="24"/>
        </w:rPr>
      </w:pPr>
      <w:r w:rsidRPr="00E03166">
        <w:rPr>
          <w:rFonts w:ascii="Arial" w:eastAsia="Times New Roman" w:hAnsi="Arial" w:cs="Arial"/>
          <w:color w:val="auto"/>
          <w:sz w:val="24"/>
          <w:szCs w:val="24"/>
        </w:rPr>
        <w:t xml:space="preserve">Between tomorrow afternoon and Thursday (July 18) afternoon, moderate to heavy rains may prevail over </w:t>
      </w:r>
      <w:proofErr w:type="spellStart"/>
      <w:r w:rsidRPr="00E03166">
        <w:rPr>
          <w:rFonts w:ascii="Arial" w:eastAsia="Times New Roman" w:hAnsi="Arial" w:cs="Arial"/>
          <w:color w:val="auto"/>
          <w:sz w:val="24"/>
          <w:szCs w:val="24"/>
        </w:rPr>
        <w:t>Ilocos</w:t>
      </w:r>
      <w:proofErr w:type="spellEnd"/>
      <w:r w:rsidRPr="00E03166">
        <w:rPr>
          <w:rFonts w:ascii="Arial" w:eastAsia="Times New Roman" w:hAnsi="Arial" w:cs="Arial"/>
          <w:color w:val="auto"/>
          <w:sz w:val="24"/>
          <w:szCs w:val="24"/>
        </w:rPr>
        <w:t xml:space="preserve"> Region, Cordillera Administrative Region, and Cagayan Valley. Meanwhile, light to moderate with at times heavy rains may prevail over the Metro Manila, Central Luzon, CALABARZON, and MIMAROPA.</w:t>
      </w:r>
    </w:p>
    <w:p w:rsidR="00E03166" w:rsidRPr="00E03166" w:rsidRDefault="00E03166" w:rsidP="00E03166">
      <w:pPr>
        <w:pStyle w:val="ListParagraph"/>
        <w:numPr>
          <w:ilvl w:val="0"/>
          <w:numId w:val="3"/>
        </w:numPr>
        <w:rPr>
          <w:rFonts w:ascii="Arial" w:eastAsia="Times New Roman" w:hAnsi="Arial" w:cs="Arial"/>
          <w:color w:val="auto"/>
          <w:sz w:val="24"/>
          <w:szCs w:val="24"/>
        </w:rPr>
      </w:pPr>
      <w:r w:rsidRPr="00E03166">
        <w:rPr>
          <w:rFonts w:ascii="Arial" w:eastAsia="Times New Roman" w:hAnsi="Arial" w:cs="Arial"/>
          <w:color w:val="auto"/>
          <w:sz w:val="24"/>
          <w:szCs w:val="24"/>
        </w:rPr>
        <w:t>Residents in the aforementioned areas, especially those living in areas identified to be at risk of flooding and landslides, are advised to take precautionary measures, coordinate with local disaster risk reduction and management offices, and continue monitoring for updates, especially the Thunderstorm Advisories and Heavy Rainfall Warnings to be issued by PAGASA Regional Services Divisions.</w:t>
      </w:r>
    </w:p>
    <w:p w:rsidR="00E03166" w:rsidRPr="00E03166" w:rsidRDefault="00E03166" w:rsidP="00E03166">
      <w:pPr>
        <w:pStyle w:val="ListParagraph"/>
        <w:numPr>
          <w:ilvl w:val="0"/>
          <w:numId w:val="3"/>
        </w:numPr>
        <w:rPr>
          <w:rFonts w:ascii="Arial" w:eastAsia="Times New Roman" w:hAnsi="Arial" w:cs="Arial"/>
          <w:color w:val="auto"/>
          <w:sz w:val="24"/>
          <w:szCs w:val="24"/>
        </w:rPr>
      </w:pPr>
      <w:r w:rsidRPr="00E03166">
        <w:rPr>
          <w:rFonts w:ascii="Arial" w:eastAsia="Times New Roman" w:hAnsi="Arial" w:cs="Arial"/>
          <w:color w:val="auto"/>
          <w:sz w:val="24"/>
          <w:szCs w:val="24"/>
        </w:rPr>
        <w:t xml:space="preserve">Sea travel is risky over the seaboards of areas under TCWS and the eastern seaboards of Central Luzon, Southern Luzon and </w:t>
      </w:r>
      <w:proofErr w:type="spellStart"/>
      <w:r w:rsidRPr="00E03166">
        <w:rPr>
          <w:rFonts w:ascii="Arial" w:eastAsia="Times New Roman" w:hAnsi="Arial" w:cs="Arial"/>
          <w:color w:val="auto"/>
          <w:sz w:val="24"/>
          <w:szCs w:val="24"/>
        </w:rPr>
        <w:t>Visayas</w:t>
      </w:r>
      <w:proofErr w:type="spellEnd"/>
      <w:r w:rsidRPr="00E03166">
        <w:rPr>
          <w:rFonts w:ascii="Arial" w:eastAsia="Times New Roman" w:hAnsi="Arial" w:cs="Arial"/>
          <w:color w:val="auto"/>
          <w:sz w:val="24"/>
          <w:szCs w:val="24"/>
        </w:rPr>
        <w:t>.</w:t>
      </w:r>
    </w:p>
    <w:p w:rsidR="00E03166" w:rsidRPr="00E03166" w:rsidRDefault="00E03166" w:rsidP="00E03166">
      <w:pPr>
        <w:pStyle w:val="ListParagraph"/>
        <w:numPr>
          <w:ilvl w:val="0"/>
          <w:numId w:val="3"/>
        </w:numPr>
        <w:rPr>
          <w:rFonts w:ascii="Arial" w:eastAsia="Times New Roman" w:hAnsi="Arial" w:cs="Arial"/>
          <w:color w:val="auto"/>
          <w:sz w:val="24"/>
          <w:szCs w:val="24"/>
        </w:rPr>
      </w:pPr>
      <w:r w:rsidRPr="00E03166">
        <w:rPr>
          <w:rFonts w:ascii="Arial" w:eastAsia="Times New Roman" w:hAnsi="Arial" w:cs="Arial"/>
          <w:color w:val="auto"/>
          <w:sz w:val="24"/>
          <w:szCs w:val="24"/>
        </w:rPr>
        <w:lastRenderedPageBreak/>
        <w:t xml:space="preserve">Tropical Cyclone Wind Signal (TCWS) #1 may be raised over the northern portions of Aurora, </w:t>
      </w:r>
      <w:proofErr w:type="spellStart"/>
      <w:r w:rsidRPr="00E03166">
        <w:rPr>
          <w:rFonts w:ascii="Arial" w:eastAsia="Times New Roman" w:hAnsi="Arial" w:cs="Arial"/>
          <w:color w:val="auto"/>
          <w:sz w:val="24"/>
          <w:szCs w:val="24"/>
        </w:rPr>
        <w:t>Quirino</w:t>
      </w:r>
      <w:proofErr w:type="spellEnd"/>
      <w:r w:rsidRPr="00E03166">
        <w:rPr>
          <w:rFonts w:ascii="Arial" w:eastAsia="Times New Roman" w:hAnsi="Arial" w:cs="Arial"/>
          <w:color w:val="auto"/>
          <w:sz w:val="24"/>
          <w:szCs w:val="24"/>
        </w:rPr>
        <w:t xml:space="preserve"> and Nueva Vizcaya and the rest of </w:t>
      </w:r>
      <w:proofErr w:type="spellStart"/>
      <w:r w:rsidRPr="00E03166">
        <w:rPr>
          <w:rFonts w:ascii="Arial" w:eastAsia="Times New Roman" w:hAnsi="Arial" w:cs="Arial"/>
          <w:color w:val="auto"/>
          <w:sz w:val="24"/>
          <w:szCs w:val="24"/>
        </w:rPr>
        <w:t>Abra</w:t>
      </w:r>
      <w:proofErr w:type="spellEnd"/>
      <w:r w:rsidRPr="00E03166">
        <w:rPr>
          <w:rFonts w:ascii="Arial" w:eastAsia="Times New Roman" w:hAnsi="Arial" w:cs="Arial"/>
          <w:color w:val="auto"/>
          <w:sz w:val="24"/>
          <w:szCs w:val="24"/>
        </w:rPr>
        <w:t xml:space="preserve">, Mt. Province and </w:t>
      </w:r>
      <w:proofErr w:type="spellStart"/>
      <w:r w:rsidRPr="00E03166">
        <w:rPr>
          <w:rFonts w:ascii="Arial" w:eastAsia="Times New Roman" w:hAnsi="Arial" w:cs="Arial"/>
          <w:color w:val="auto"/>
          <w:sz w:val="24"/>
          <w:szCs w:val="24"/>
        </w:rPr>
        <w:t>Ifugao</w:t>
      </w:r>
      <w:proofErr w:type="spellEnd"/>
      <w:r w:rsidRPr="00E03166">
        <w:rPr>
          <w:rFonts w:ascii="Arial" w:eastAsia="Times New Roman" w:hAnsi="Arial" w:cs="Arial"/>
          <w:color w:val="auto"/>
          <w:sz w:val="24"/>
          <w:szCs w:val="24"/>
        </w:rPr>
        <w:t xml:space="preserve"> in the succeeding Severe Weather Bulletins.</w:t>
      </w:r>
    </w:p>
    <w:p w:rsidR="00E03166" w:rsidRDefault="00E03166" w:rsidP="00E03166">
      <w:pPr>
        <w:pStyle w:val="ListParagraph"/>
        <w:numPr>
          <w:ilvl w:val="0"/>
          <w:numId w:val="3"/>
        </w:numPr>
        <w:rPr>
          <w:rFonts w:ascii="Arial" w:eastAsia="Times New Roman" w:hAnsi="Arial" w:cs="Arial"/>
          <w:color w:val="auto"/>
          <w:sz w:val="24"/>
          <w:szCs w:val="24"/>
        </w:rPr>
      </w:pPr>
      <w:r w:rsidRPr="00E03166">
        <w:rPr>
          <w:rFonts w:ascii="Arial" w:eastAsia="Times New Roman" w:hAnsi="Arial" w:cs="Arial"/>
          <w:color w:val="auto"/>
          <w:sz w:val="24"/>
          <w:szCs w:val="24"/>
        </w:rPr>
        <w:t>This weather disturbance is expected to closely approach or make landfall over Babuyan-</w:t>
      </w:r>
      <w:proofErr w:type="spellStart"/>
      <w:r w:rsidRPr="00E03166">
        <w:rPr>
          <w:rFonts w:ascii="Arial" w:eastAsia="Times New Roman" w:hAnsi="Arial" w:cs="Arial"/>
          <w:color w:val="auto"/>
          <w:sz w:val="24"/>
          <w:szCs w:val="24"/>
        </w:rPr>
        <w:t>Batanes</w:t>
      </w:r>
      <w:proofErr w:type="spellEnd"/>
      <w:r w:rsidRPr="00E03166">
        <w:rPr>
          <w:rFonts w:ascii="Arial" w:eastAsia="Times New Roman" w:hAnsi="Arial" w:cs="Arial"/>
          <w:color w:val="auto"/>
          <w:sz w:val="24"/>
          <w:szCs w:val="24"/>
        </w:rPr>
        <w:t xml:space="preserve"> Islands area tomorrow evening and may exit the Philippine Area of Responsibility (PAR) on Friday (19 July).</w:t>
      </w:r>
    </w:p>
    <w:p w:rsidR="00E03166" w:rsidRDefault="00E03166" w:rsidP="00E03166">
      <w:pPr>
        <w:pStyle w:val="NoSpacing1"/>
        <w:contextualSpacing/>
        <w:jc w:val="both"/>
        <w:rPr>
          <w:rFonts w:ascii="Arial" w:eastAsia="Calibri" w:hAnsi="Arial" w:cs="Arial"/>
          <w:bCs/>
          <w:sz w:val="24"/>
          <w:szCs w:val="24"/>
          <w:lang w:val="en-PH" w:eastAsia="en-PH"/>
        </w:rPr>
      </w:pPr>
      <w:r w:rsidRPr="00E03166">
        <w:rPr>
          <w:rFonts w:ascii="Arial" w:eastAsia="Calibri" w:hAnsi="Arial" w:cs="Arial"/>
          <w:bCs/>
          <w:sz w:val="24"/>
          <w:szCs w:val="24"/>
          <w:lang w:val="en-PH" w:eastAsia="en-PH"/>
        </w:rPr>
        <w:t xml:space="preserve">At 4:00 PM today, the center of Tropical Storm "FALCON" was estimated based on all available data at 335 km East Southeast of </w:t>
      </w:r>
      <w:proofErr w:type="spellStart"/>
      <w:r w:rsidRPr="00E03166">
        <w:rPr>
          <w:rFonts w:ascii="Arial" w:eastAsia="Calibri" w:hAnsi="Arial" w:cs="Arial"/>
          <w:bCs/>
          <w:sz w:val="24"/>
          <w:szCs w:val="24"/>
          <w:lang w:val="en-PH" w:eastAsia="en-PH"/>
        </w:rPr>
        <w:t>Tuguegarao</w:t>
      </w:r>
      <w:proofErr w:type="spellEnd"/>
      <w:r w:rsidRPr="00E03166">
        <w:rPr>
          <w:rFonts w:ascii="Arial" w:eastAsia="Calibri" w:hAnsi="Arial" w:cs="Arial"/>
          <w:bCs/>
          <w:sz w:val="24"/>
          <w:szCs w:val="24"/>
          <w:lang w:val="en-PH" w:eastAsia="en-PH"/>
        </w:rPr>
        <w:t xml:space="preserve"> C</w:t>
      </w:r>
      <w:r>
        <w:rPr>
          <w:rFonts w:ascii="Arial" w:eastAsia="Calibri" w:hAnsi="Arial" w:cs="Arial"/>
          <w:bCs/>
          <w:sz w:val="24"/>
          <w:szCs w:val="24"/>
          <w:lang w:val="en-PH" w:eastAsia="en-PH"/>
        </w:rPr>
        <w:t>ity, Cagayan (16.9 °N, 124.8 °E</w:t>
      </w:r>
      <w:r w:rsidRPr="00E03166">
        <w:rPr>
          <w:rFonts w:ascii="Arial" w:eastAsia="Calibri" w:hAnsi="Arial" w:cs="Arial"/>
          <w:bCs/>
          <w:sz w:val="24"/>
          <w:szCs w:val="24"/>
          <w:lang w:val="en-PH" w:eastAsia="en-PH"/>
        </w:rPr>
        <w:t>)</w:t>
      </w:r>
    </w:p>
    <w:p w:rsidR="00E03166" w:rsidRDefault="00E03166" w:rsidP="00816A95">
      <w:pPr>
        <w:pStyle w:val="NoSpacing1"/>
        <w:ind w:left="2880" w:firstLine="720"/>
        <w:contextualSpacing/>
        <w:jc w:val="right"/>
        <w:rPr>
          <w:rFonts w:ascii="Arial" w:eastAsia="Calibri" w:hAnsi="Arial" w:cs="Arial"/>
          <w:bCs/>
          <w:sz w:val="24"/>
          <w:szCs w:val="24"/>
          <w:lang w:val="en-PH" w:eastAsia="en-PH"/>
        </w:rPr>
      </w:pPr>
    </w:p>
    <w:p w:rsidR="00151EA5" w:rsidRPr="00E03166" w:rsidRDefault="00A81C78" w:rsidP="00E03166">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51EA5" w:rsidRDefault="00251556"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mc:AlternateContent>
          <mc:Choice Requires="wps">
            <w:drawing>
              <wp:anchor distT="45720" distB="45720" distL="114300" distR="114300" simplePos="0" relativeHeight="251661312" behindDoc="0" locked="0" layoutInCell="1" allowOverlap="1">
                <wp:simplePos x="0" y="0"/>
                <wp:positionH relativeFrom="column">
                  <wp:posOffset>941705</wp:posOffset>
                </wp:positionH>
                <wp:positionV relativeFrom="paragraph">
                  <wp:posOffset>90170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EF4CDB" w:rsidRDefault="00151EA5" w:rsidP="00151EA5">
                            <w:pPr>
                              <w:rPr>
                                <w:rFonts w:ascii="Arial" w:hAnsi="Arial" w:cs="Arial"/>
                                <w:b/>
                                <w:color w:val="0070C0"/>
                                <w:sz w:val="40"/>
                              </w:rPr>
                            </w:pPr>
                            <w:r w:rsidRPr="00EF4CDB">
                              <w:rPr>
                                <w:rFonts w:ascii="Arial" w:hAnsi="Arial" w:cs="Arial"/>
                                <w:b/>
                                <w:color w:val="0070C0"/>
                                <w:sz w:val="40"/>
                              </w:rPr>
                              <w:t>PREDICTIVE ANALYTICS FOR HUMANITARIAN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15pt;margin-top:7.1pt;width:59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" filled="f" stroked="f">
                <v:textbox>
                  <w:txbxContent>
                    <w:p w:rsidR="00151EA5" w:rsidRPr="00EF4CDB" w:rsidRDefault="00151EA5" w:rsidP="00151EA5">
                      <w:pPr>
                        <w:rPr>
                          <w:rFonts w:ascii="Arial" w:hAnsi="Arial" w:cs="Arial"/>
                          <w:b/>
                          <w:color w:val="0070C0"/>
                          <w:sz w:val="40"/>
                        </w:rPr>
                      </w:pPr>
                      <w:r w:rsidRPr="00EF4CDB">
                        <w:rPr>
                          <w:rFonts w:ascii="Arial" w:hAnsi="Arial" w:cs="Arial"/>
                          <w:b/>
                          <w:color w:val="0070C0"/>
                          <w:sz w:val="40"/>
                        </w:rPr>
                        <w:t>PREDICTIVE ANALYTICS FOR HUMANITARIAN RESPONSE</w:t>
                      </w:r>
                    </w:p>
                  </w:txbxContent>
                </v:textbox>
                <w10:wrap type="square"/>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251556"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w:drawing>
          <wp:anchor distT="0" distB="0" distL="114300" distR="114300" simplePos="0" relativeHeight="251659264" behindDoc="1" locked="0" layoutInCell="1" allowOverlap="1">
            <wp:simplePos x="0" y="0"/>
            <wp:positionH relativeFrom="column">
              <wp:posOffset>4636770</wp:posOffset>
            </wp:positionH>
            <wp:positionV relativeFrom="paragraph">
              <wp:posOffset>13970</wp:posOffset>
            </wp:positionV>
            <wp:extent cx="5159375" cy="3648075"/>
            <wp:effectExtent l="0" t="0" r="3175" b="9525"/>
            <wp:wrapNone/>
            <wp:docPr id="1" name="Picture 3">
              <a:extLst xmlns:a="http://schemas.openxmlformats.org/drawingml/2006/main">
                <a:ext uri="{FF2B5EF4-FFF2-40B4-BE49-F238E27FC236}">
                  <a16:creationId xmlns:a16="http://schemas.microsoft.com/office/drawing/2014/main" id="{BAD3DB9A-559C-4041-9561-2B92C0B851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AD3DB9A-559C-4041-9561-2B92C0B851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9375" cy="3648075"/>
                    </a:xfrm>
                    <a:prstGeom prst="rect">
                      <a:avLst/>
                    </a:prstGeom>
                  </pic:spPr>
                </pic:pic>
              </a:graphicData>
            </a:graphic>
            <wp14:sizeRelH relativeFrom="margin">
              <wp14:pctWidth>0</wp14:pctWidth>
            </wp14:sizeRelH>
            <wp14:sizeRelV relativeFrom="margin">
              <wp14:pctHeight>0</wp14:pctHeight>
            </wp14:sizeRelV>
          </wp:anchor>
        </w:drawing>
      </w:r>
      <w:r w:rsidRPr="00151EA5">
        <w:rPr>
          <w:rFonts w:ascii="Arial" w:eastAsia="Arial" w:hAnsi="Arial" w:cs="Arial"/>
          <w:b/>
          <w:noProof/>
          <w:color w:val="002060"/>
          <w:sz w:val="28"/>
          <w:szCs w:val="24"/>
        </w:rPr>
        <mc:AlternateContent>
          <mc:Choice Requires="wps">
            <w:drawing>
              <wp:anchor distT="0" distB="0" distL="114300" distR="114300" simplePos="0" relativeHeight="251663360" behindDoc="1" locked="0" layoutInCell="1" allowOverlap="1" wp14:anchorId="1EAE4924" wp14:editId="14879D45">
                <wp:simplePos x="0" y="0"/>
                <wp:positionH relativeFrom="column">
                  <wp:posOffset>57150</wp:posOffset>
                </wp:positionH>
                <wp:positionV relativeFrom="paragraph">
                  <wp:posOffset>8890</wp:posOffset>
                </wp:positionV>
                <wp:extent cx="4540885" cy="629285"/>
                <wp:effectExtent l="0" t="0" r="0" b="0"/>
                <wp:wrapNone/>
                <wp:docPr id="7" name="TextBox 6"/>
                <wp:cNvGraphicFramePr/>
                <a:graphic xmlns:a="http://schemas.openxmlformats.org/drawingml/2006/main">
                  <a:graphicData uri="http://schemas.microsoft.com/office/word/2010/wordprocessingShape">
                    <wps:wsp>
                      <wps:cNvSpPr txBox="1"/>
                      <wps:spPr>
                        <a:xfrm>
                          <a:off x="0" y="0"/>
                          <a:ext cx="4540885" cy="629285"/>
                        </a:xfrm>
                        <a:prstGeom prst="rect">
                          <a:avLst/>
                        </a:prstGeom>
                        <a:solidFill>
                          <a:srgbClr val="D9D9D9"/>
                        </a:solidFill>
                      </wps:spPr>
                      <wps:txbx>
                        <w:txbxContent>
                          <w:p w:rsidR="00321421" w:rsidRPr="00321421" w:rsidRDefault="00151EA5" w:rsidP="00151EA5">
                            <w:pPr>
                              <w:pStyle w:val="NormalWeb"/>
                              <w:spacing w:beforeAutospacing="0" w:afterAutospacing="0"/>
                              <w:jc w:val="center"/>
                              <w:rPr>
                                <w:rFonts w:ascii="Agency FB" w:eastAsia="Arial" w:hAnsi="Agency FB" w:cs="Arial"/>
                                <w:b/>
                                <w:bCs/>
                                <w:color w:val="002060"/>
                                <w:sz w:val="36"/>
                                <w:szCs w:val="40"/>
                              </w:rPr>
                            </w:pPr>
                            <w:r w:rsidRPr="00321421">
                              <w:rPr>
                                <w:rFonts w:ascii="Agency FB" w:eastAsia="Arial" w:hAnsi="Agency FB" w:cs="Arial"/>
                                <w:b/>
                                <w:bCs/>
                                <w:color w:val="002060"/>
                                <w:sz w:val="36"/>
                                <w:szCs w:val="40"/>
                              </w:rPr>
                              <w:t xml:space="preserve">REGIONS THAT WILL RECEIVE AN </w:t>
                            </w:r>
                          </w:p>
                          <w:p w:rsidR="00151EA5" w:rsidRPr="00321421" w:rsidRDefault="00151EA5" w:rsidP="00151EA5">
                            <w:pPr>
                              <w:pStyle w:val="NormalWeb"/>
                              <w:spacing w:beforeAutospacing="0" w:afterAutospacing="0"/>
                              <w:jc w:val="center"/>
                              <w:rPr>
                                <w:sz w:val="22"/>
                              </w:rPr>
                            </w:pPr>
                            <w:r w:rsidRPr="00321421">
                              <w:rPr>
                                <w:rFonts w:ascii="Agency FB" w:eastAsia="Arial" w:hAnsi="Agency FB" w:cs="Arial"/>
                                <w:b/>
                                <w:bCs/>
                                <w:color w:val="002060"/>
                                <w:sz w:val="36"/>
                                <w:szCs w:val="40"/>
                              </w:rPr>
                              <w:t>ACCUMULATED RAINFALL</w:t>
                            </w:r>
                            <w:r w:rsidRPr="00321421">
                              <w:rPr>
                                <w:rFonts w:ascii="Agency FB" w:eastAsia="Arial" w:hAnsi="Agency FB" w:cs="Arial"/>
                                <w:b/>
                                <w:bCs/>
                                <w:color w:val="002060"/>
                                <w:sz w:val="36"/>
                                <w:szCs w:val="40"/>
                              </w:rPr>
                              <w:br/>
                              <w:t>OF AT LEAST 100 MM FOR THE NEXT 72 HOURS</w:t>
                            </w:r>
                            <w:r w:rsidRPr="00321421">
                              <w:rPr>
                                <w:rFonts w:ascii="Agency FB" w:eastAsia="Arial" w:hAnsi="Agency FB" w:cs="Arial"/>
                                <w:b/>
                                <w:bCs/>
                                <w:color w:val="002060"/>
                                <w:sz w:val="36"/>
                                <w:szCs w:val="40"/>
                              </w:rPr>
                              <w:br/>
                              <w:t xml:space="preserve">AND THE </w:t>
                            </w:r>
                            <w:r w:rsidRPr="00321421">
                              <w:rPr>
                                <w:rFonts w:ascii="Agency FB" w:eastAsia="Arial" w:hAnsi="Agency FB" w:cs="Arial"/>
                                <w:b/>
                                <w:bCs/>
                                <w:color w:val="C00000"/>
                                <w:sz w:val="36"/>
                                <w:szCs w:val="40"/>
                                <w:u w:val="single"/>
                              </w:rPr>
                              <w:t>POPULATION</w:t>
                            </w:r>
                            <w:r w:rsidRPr="00321421">
                              <w:rPr>
                                <w:rFonts w:ascii="Agency FB" w:eastAsia="Arial" w:hAnsi="Agency FB" w:cs="Arial"/>
                                <w:b/>
                                <w:bCs/>
                                <w:color w:val="002060"/>
                                <w:sz w:val="36"/>
                                <w:szCs w:val="40"/>
                              </w:rPr>
                              <w:t xml:space="preserve"> EXPOSED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EAE4924" id="TextBox 6" o:spid="_x0000_s1027" type="#_x0000_t202" style="position:absolute;margin-left:4.5pt;margin-top:.7pt;width:357.55pt;height:4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" fillcolor="#d9d9d9" stroked="f">
                <v:textbox>
                  <w:txbxContent>
                    <w:p w:rsidR="00321421" w:rsidRPr="00321421" w:rsidRDefault="00151EA5" w:rsidP="00151EA5">
                      <w:pPr>
                        <w:pStyle w:val="NormalWeb"/>
                        <w:spacing w:beforeAutospacing="0" w:afterAutospacing="0"/>
                        <w:jc w:val="center"/>
                        <w:rPr>
                          <w:rFonts w:ascii="Agency FB" w:eastAsia="Arial" w:hAnsi="Agency FB" w:cs="Arial"/>
                          <w:b/>
                          <w:bCs/>
                          <w:color w:val="002060"/>
                          <w:sz w:val="36"/>
                          <w:szCs w:val="40"/>
                        </w:rPr>
                      </w:pPr>
                      <w:r w:rsidRPr="00321421">
                        <w:rPr>
                          <w:rFonts w:ascii="Agency FB" w:eastAsia="Arial" w:hAnsi="Agency FB" w:cs="Arial"/>
                          <w:b/>
                          <w:bCs/>
                          <w:color w:val="002060"/>
                          <w:sz w:val="36"/>
                          <w:szCs w:val="40"/>
                        </w:rPr>
                        <w:t xml:space="preserve">REGIONS THAT WILL RECEIVE AN </w:t>
                      </w:r>
                    </w:p>
                    <w:p w:rsidR="00151EA5" w:rsidRPr="00321421" w:rsidRDefault="00151EA5" w:rsidP="00151EA5">
                      <w:pPr>
                        <w:pStyle w:val="NormalWeb"/>
                        <w:spacing w:beforeAutospacing="0" w:afterAutospacing="0"/>
                        <w:jc w:val="center"/>
                        <w:rPr>
                          <w:sz w:val="22"/>
                        </w:rPr>
                      </w:pPr>
                      <w:r w:rsidRPr="00321421">
                        <w:rPr>
                          <w:rFonts w:ascii="Agency FB" w:eastAsia="Arial" w:hAnsi="Agency FB" w:cs="Arial"/>
                          <w:b/>
                          <w:bCs/>
                          <w:color w:val="002060"/>
                          <w:sz w:val="36"/>
                          <w:szCs w:val="40"/>
                        </w:rPr>
                        <w:t>ACCUMULATED RAINFALL</w:t>
                      </w:r>
                      <w:r w:rsidRPr="00321421">
                        <w:rPr>
                          <w:rFonts w:ascii="Agency FB" w:eastAsia="Arial" w:hAnsi="Agency FB" w:cs="Arial"/>
                          <w:b/>
                          <w:bCs/>
                          <w:color w:val="002060"/>
                          <w:sz w:val="36"/>
                          <w:szCs w:val="40"/>
                        </w:rPr>
                        <w:br/>
                        <w:t>OF AT LEAST 100 MM FOR THE NEXT 72 HOURS</w:t>
                      </w:r>
                      <w:r w:rsidRPr="00321421">
                        <w:rPr>
                          <w:rFonts w:ascii="Agency FB" w:eastAsia="Arial" w:hAnsi="Agency FB" w:cs="Arial"/>
                          <w:b/>
                          <w:bCs/>
                          <w:color w:val="002060"/>
                          <w:sz w:val="36"/>
                          <w:szCs w:val="40"/>
                        </w:rPr>
                        <w:br/>
                        <w:t xml:space="preserve">AND THE </w:t>
                      </w:r>
                      <w:r w:rsidRPr="00321421">
                        <w:rPr>
                          <w:rFonts w:ascii="Agency FB" w:eastAsia="Arial" w:hAnsi="Agency FB" w:cs="Arial"/>
                          <w:b/>
                          <w:bCs/>
                          <w:color w:val="C00000"/>
                          <w:sz w:val="36"/>
                          <w:szCs w:val="40"/>
                          <w:u w:val="single"/>
                        </w:rPr>
                        <w:t>POPULATION</w:t>
                      </w:r>
                      <w:r w:rsidRPr="00321421">
                        <w:rPr>
                          <w:rFonts w:ascii="Agency FB" w:eastAsia="Arial" w:hAnsi="Agency FB" w:cs="Arial"/>
                          <w:b/>
                          <w:bCs/>
                          <w:color w:val="002060"/>
                          <w:sz w:val="36"/>
                          <w:szCs w:val="40"/>
                        </w:rPr>
                        <w:t xml:space="preserve"> EXPOSED</w:t>
                      </w:r>
                    </w:p>
                  </w:txbxContent>
                </v:textbox>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251556"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w:drawing>
          <wp:anchor distT="0" distB="0" distL="114300" distR="114300" simplePos="0" relativeHeight="251664384" behindDoc="1" locked="0" layoutInCell="1" allowOverlap="1" wp14:anchorId="58A8790F" wp14:editId="31A92467">
            <wp:simplePos x="0" y="0"/>
            <wp:positionH relativeFrom="column">
              <wp:posOffset>57150</wp:posOffset>
            </wp:positionH>
            <wp:positionV relativeFrom="paragraph">
              <wp:posOffset>26035</wp:posOffset>
            </wp:positionV>
            <wp:extent cx="4540885" cy="3095625"/>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4540885" cy="3095625"/>
                    </a:xfrm>
                    <a:prstGeom prst="rect">
                      <a:avLst/>
                    </a:prstGeom>
                  </pic:spPr>
                </pic:pic>
              </a:graphicData>
            </a:graphic>
            <wp14:sizeRelH relativeFrom="margin">
              <wp14:pctWidth>0</wp14:pctWidth>
            </wp14:sizeRelH>
            <wp14:sizeRelV relativeFrom="margin">
              <wp14:pctHeight>0</wp14:pctHeight>
            </wp14:sizeRelV>
          </wp:anchor>
        </w:drawing>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251556" w:rsidRDefault="00251556" w:rsidP="00816A95">
      <w:pPr>
        <w:spacing w:after="0" w:line="240" w:lineRule="auto"/>
        <w:contextualSpacing/>
        <w:rPr>
          <w:rFonts w:ascii="Arial" w:eastAsia="Arial" w:hAnsi="Arial" w:cs="Arial"/>
          <w:b/>
          <w:color w:val="002060"/>
          <w:sz w:val="28"/>
          <w:szCs w:val="24"/>
        </w:rPr>
      </w:pP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1,984,745,767.19</w:t>
      </w:r>
      <w:r w:rsidR="006A5D7C">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1,190,869,415.84</w:t>
      </w:r>
      <w:r w:rsidR="00D22211">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D22211" w:rsidRPr="00D22211">
        <w:rPr>
          <w:rFonts w:ascii="Arial" w:eastAsia="Arial" w:hAnsi="Arial" w:cs="Arial"/>
          <w:b/>
          <w:color w:val="0070C0"/>
          <w:sz w:val="24"/>
          <w:szCs w:val="24"/>
        </w:rPr>
        <w:t>1,146,974,543.16</w:t>
      </w:r>
      <w:r w:rsidR="00D22211">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D22211" w:rsidRPr="00D22211">
        <w:rPr>
          <w:rFonts w:ascii="Arial" w:eastAsia="Arial" w:hAnsi="Arial" w:cs="Arial"/>
          <w:b/>
          <w:color w:val="0070C0"/>
          <w:sz w:val="24"/>
          <w:szCs w:val="24"/>
        </w:rPr>
        <w:t>359,124</w:t>
      </w:r>
      <w:r w:rsidR="00D22211">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134,922,306.28</w:t>
      </w:r>
      <w:r w:rsidR="00D22211">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D22211" w:rsidRPr="00D22211">
        <w:rPr>
          <w:rFonts w:ascii="Arial" w:eastAsia="Arial" w:hAnsi="Arial" w:cs="Arial"/>
          <w:b/>
          <w:color w:val="0070C0"/>
          <w:sz w:val="24"/>
          <w:szCs w:val="24"/>
        </w:rPr>
        <w:t>658,954,045.07</w:t>
      </w:r>
      <w:r w:rsidRPr="00BE43F9">
        <w:rPr>
          <w:rFonts w:ascii="Arial" w:eastAsia="Arial" w:hAnsi="Arial" w:cs="Arial"/>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801" w:type="pct"/>
        <w:tblInd w:w="701" w:type="dxa"/>
        <w:tblCellMar>
          <w:left w:w="57" w:type="dxa"/>
          <w:right w:w="57" w:type="dxa"/>
        </w:tblCellMar>
        <w:tblLook w:val="04A0" w:firstRow="1" w:lastRow="0" w:firstColumn="1" w:lastColumn="0" w:noHBand="0" w:noVBand="1"/>
      </w:tblPr>
      <w:tblGrid>
        <w:gridCol w:w="1532"/>
        <w:gridCol w:w="1731"/>
        <w:gridCol w:w="938"/>
        <w:gridCol w:w="1557"/>
        <w:gridCol w:w="1745"/>
        <w:gridCol w:w="1589"/>
        <w:gridCol w:w="2718"/>
        <w:gridCol w:w="2931"/>
      </w:tblGrid>
      <w:tr w:rsidR="004808D9" w:rsidRPr="00460385" w:rsidTr="004808D9">
        <w:trPr>
          <w:trHeight w:val="190"/>
          <w:tblHeader/>
        </w:trPr>
        <w:tc>
          <w:tcPr>
            <w:tcW w:w="520"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FIELD OFFICE</w:t>
            </w:r>
          </w:p>
        </w:tc>
        <w:tc>
          <w:tcPr>
            <w:tcW w:w="587"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STANDBY FUNDS</w:t>
            </w:r>
          </w:p>
        </w:tc>
        <w:tc>
          <w:tcPr>
            <w:tcW w:w="2899" w:type="pct"/>
            <w:gridSpan w:val="5"/>
            <w:tcBorders>
              <w:top w:val="single" w:sz="6" w:space="0" w:color="000000"/>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STOCKPILES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STANDBY FUNDS &amp; STOCKPILE</w:t>
            </w:r>
          </w:p>
        </w:tc>
      </w:tr>
      <w:tr w:rsidR="004808D9" w:rsidRPr="00460385" w:rsidTr="00971537">
        <w:trPr>
          <w:trHeight w:val="184"/>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846" w:type="pct"/>
            <w:gridSpan w:val="2"/>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Family Food Packs</w:t>
            </w:r>
          </w:p>
        </w:tc>
        <w:tc>
          <w:tcPr>
            <w:tcW w:w="592"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Other Food Items</w:t>
            </w:r>
          </w:p>
        </w:tc>
        <w:tc>
          <w:tcPr>
            <w:tcW w:w="53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Non Food Items</w:t>
            </w:r>
          </w:p>
        </w:tc>
        <w:tc>
          <w:tcPr>
            <w:tcW w:w="922" w:type="pct"/>
            <w:vMerge w:val="restart"/>
            <w:tcBorders>
              <w:top w:val="single" w:sz="6" w:space="0" w:color="CCCCCC"/>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SUB-TOTAL (Food and NFIs)</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r>
      <w:tr w:rsidR="004808D9" w:rsidRPr="00460385"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Quantity</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922" w:type="pct"/>
            <w:vMerge/>
            <w:tcBorders>
              <w:top w:val="single" w:sz="6" w:space="0" w:color="CCCCCC"/>
              <w:left w:val="single" w:sz="6" w:space="0" w:color="CCCCCC"/>
              <w:bottom w:val="single" w:sz="6" w:space="0" w:color="000000"/>
              <w:right w:val="single" w:sz="4" w:space="0" w:color="auto"/>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r>
      <w:tr w:rsidR="00971537" w:rsidRPr="00460385"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Arial"/>
                <w:b/>
                <w:bCs/>
                <w:sz w:val="20"/>
                <w:szCs w:val="20"/>
              </w:rPr>
            </w:pPr>
            <w:r w:rsidRPr="00971537">
              <w:rPr>
                <w:rFonts w:eastAsia="Times New Roman" w:cs="Arial"/>
                <w:b/>
                <w:bCs/>
                <w:sz w:val="20"/>
                <w:szCs w:val="20"/>
              </w:rPr>
              <w:t>TOTAL</w:t>
            </w:r>
          </w:p>
        </w:tc>
        <w:tc>
          <w:tcPr>
            <w:tcW w:w="587" w:type="pct"/>
            <w:vMerge/>
            <w:tcBorders>
              <w:top w:val="single" w:sz="6" w:space="0" w:color="000000"/>
              <w:left w:val="single" w:sz="6" w:space="0" w:color="CCCCCC"/>
              <w:bottom w:val="single" w:sz="6" w:space="0" w:color="000000"/>
              <w:right w:val="single" w:sz="6" w:space="0" w:color="000000"/>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1,190,869,415.84</w:t>
            </w: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359,124</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134,922,306.28</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161,342,886.34</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497,611,158.73</w:t>
            </w:r>
          </w:p>
        </w:tc>
        <w:tc>
          <w:tcPr>
            <w:tcW w:w="922" w:type="pct"/>
            <w:vMerge/>
            <w:tcBorders>
              <w:top w:val="single" w:sz="6" w:space="0" w:color="CCCCCC"/>
              <w:left w:val="single" w:sz="6" w:space="0" w:color="CCCCCC"/>
              <w:bottom w:val="single" w:sz="6" w:space="0" w:color="000000"/>
              <w:right w:val="single" w:sz="4" w:space="0" w:color="auto"/>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658,954,045.07</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1,984,745,767.19</w:t>
            </w:r>
          </w:p>
        </w:tc>
      </w:tr>
      <w:tr w:rsidR="00460385" w:rsidRPr="00460385" w:rsidTr="00460385">
        <w:trPr>
          <w:trHeight w:val="20"/>
        </w:trPr>
        <w:tc>
          <w:tcPr>
            <w:tcW w:w="520" w:type="pct"/>
            <w:tcBorders>
              <w:top w:val="single" w:sz="6" w:space="0" w:color="CCCCCC"/>
              <w:left w:val="single" w:sz="6" w:space="0" w:color="000000"/>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TOTAL</w:t>
            </w:r>
          </w:p>
        </w:tc>
        <w:tc>
          <w:tcPr>
            <w:tcW w:w="587"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1,190,869,415.84</w:t>
            </w:r>
          </w:p>
        </w:tc>
        <w:tc>
          <w:tcPr>
            <w:tcW w:w="31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359,124</w:t>
            </w:r>
          </w:p>
        </w:tc>
        <w:tc>
          <w:tcPr>
            <w:tcW w:w="52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134,922,306.28</w:t>
            </w:r>
          </w:p>
        </w:tc>
        <w:tc>
          <w:tcPr>
            <w:tcW w:w="592"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161,342,886.34</w:t>
            </w:r>
          </w:p>
        </w:tc>
        <w:tc>
          <w:tcPr>
            <w:tcW w:w="539"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497,611,158.73</w:t>
            </w:r>
          </w:p>
        </w:tc>
        <w:tc>
          <w:tcPr>
            <w:tcW w:w="922"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658,954,045.07</w:t>
            </w:r>
          </w:p>
        </w:tc>
        <w:tc>
          <w:tcPr>
            <w:tcW w:w="994" w:type="pct"/>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after="0" w:line="240" w:lineRule="auto"/>
              <w:contextualSpacing/>
              <w:jc w:val="center"/>
              <w:rPr>
                <w:rFonts w:ascii="Arial Narrow" w:hAnsi="Arial Narrow"/>
                <w:b/>
                <w:sz w:val="20"/>
                <w:szCs w:val="20"/>
              </w:rPr>
            </w:pPr>
            <w:r w:rsidRPr="00460385">
              <w:rPr>
                <w:rFonts w:ascii="Arial Narrow" w:hAnsi="Arial Narrow"/>
                <w:b/>
                <w:sz w:val="20"/>
                <w:szCs w:val="20"/>
              </w:rPr>
              <w:t>1,984,745,767.19</w:t>
            </w:r>
          </w:p>
        </w:tc>
      </w:tr>
      <w:tr w:rsidR="00460385" w:rsidRPr="00460385" w:rsidTr="00D22211">
        <w:trPr>
          <w:trHeight w:val="167"/>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Central Office</w:t>
            </w:r>
          </w:p>
        </w:tc>
        <w:tc>
          <w:tcPr>
            <w:tcW w:w="587" w:type="pct"/>
            <w:tcBorders>
              <w:top w:val="double" w:sz="2"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1,146,974,543.16</w:t>
            </w:r>
          </w:p>
        </w:tc>
        <w:tc>
          <w:tcPr>
            <w:tcW w:w="318"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p>
        </w:tc>
        <w:tc>
          <w:tcPr>
            <w:tcW w:w="528"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592"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539"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922" w:type="pct"/>
            <w:tcBorders>
              <w:top w:val="double" w:sz="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sz w:val="20"/>
                <w:szCs w:val="20"/>
              </w:rPr>
            </w:pPr>
          </w:p>
        </w:tc>
        <w:tc>
          <w:tcPr>
            <w:tcW w:w="99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1,146,974,543.16</w:t>
            </w:r>
          </w:p>
        </w:tc>
      </w:tr>
      <w:tr w:rsidR="00460385" w:rsidRPr="00460385" w:rsidTr="00D22211">
        <w:trPr>
          <w:trHeight w:val="114"/>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NRLMB - NROC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98,800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37,261,432.00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79,438,561.86</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330,957,856.78</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410,396,418.64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447,657,850.64</w:t>
            </w:r>
          </w:p>
        </w:tc>
      </w:tr>
      <w:tr w:rsidR="00460385" w:rsidRPr="00460385" w:rsidTr="00D22211">
        <w:trPr>
          <w:trHeight w:val="63"/>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NRLMB - VDRC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11,700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4,212,000.00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1,203,200.00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5,224,562.31</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6,427,762.31</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10,639,762.31</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2,379,275.00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7,846</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2,824,560.00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2,257,200.00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37,869,937.80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40,127,137.80</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45,330,972.80</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2,607,537.00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17,434</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5,731,851.40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3,352,676.29</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349,602.75</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3,702,279.04</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12,041,667.44</w:t>
            </w:r>
          </w:p>
        </w:tc>
      </w:tr>
      <w:tr w:rsidR="00460385" w:rsidRPr="00460385" w:rsidTr="00D22211">
        <w:trPr>
          <w:trHeight w:val="278"/>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2,404,557.00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26,229</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11,140,309.24</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899,919.70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241,706.00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1,141,625.70</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14,686,491.94</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lastRenderedPageBreak/>
              <w:t>CALABARZON</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2,544,350.00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4,859</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1,750,614.94</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3,418,826.40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2,398,989.61</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5,817,816.01</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10,112,780.95</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MIMAROPA</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1,494,971.58</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24,764</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10,351,352.00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2,243,173.55</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859,605.00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3,102,778.55</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14,949,102.13</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20,187</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7,823,020.34</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11,417,748.72</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40,704,948.22</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52,122,696.94</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62,945,717.28</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20,373</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7,497,110.00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8,109,495.37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3,738,152.50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11,847,647.87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22,344,757.87</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20,232</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7,283,520.00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17,439,687.87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14,879,591.20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32,319,279.07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42,602,799.07</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VIII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3,001,960.00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29,306</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10,591,774.52</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1,304,119.84</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1,163,983.00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2,468,102.84</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16,061,837.36</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IX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1,768,321.35</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10,119</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3,642,840.00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813,730.00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3,793,242.35</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4,606,972.35</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10,018,133.70</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9,004</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3,241,440.00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6,564,325.20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31,673,552.96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38,237,878.16</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44,479,318.16</w:t>
            </w:r>
          </w:p>
        </w:tc>
      </w:tr>
      <w:tr w:rsidR="00460385" w:rsidRPr="00460385" w:rsidTr="00C808CE">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3,028,750.00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19,181</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6,932,013.40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11,053,700.00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10,869,627.34</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21,923,327.34</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31,884,090.74</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XII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3,680,801.30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5,908</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2,369,108.00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2,769,132.67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851,017.26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3,620,149.93</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9,670,059.23</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CARAGA</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13,617</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4,966,096.50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1,682,002.00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6,193,295.05</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7,875,297.05</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15,841,393.55</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NCR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3,292,543.50</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3,665</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1,341,789.14</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1,998,746.57</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928,770.00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2,927,516.57</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7,561,849.21</w:t>
            </w:r>
          </w:p>
        </w:tc>
      </w:tr>
      <w:tr w:rsidR="00460385" w:rsidRPr="00460385" w:rsidTr="00D222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460385" w:rsidRPr="00460385" w:rsidRDefault="00460385" w:rsidP="00460385">
            <w:pPr>
              <w:spacing w:line="240" w:lineRule="auto"/>
              <w:contextualSpacing/>
              <w:rPr>
                <w:rFonts w:ascii="Arial Narrow" w:hAnsi="Arial Narrow" w:cs="Arial"/>
                <w:b/>
                <w:bCs/>
                <w:sz w:val="20"/>
                <w:szCs w:val="20"/>
              </w:rPr>
            </w:pPr>
            <w:r w:rsidRPr="00460385">
              <w:rPr>
                <w:rFonts w:ascii="Arial Narrow" w:hAnsi="Arial Narrow" w:cs="Arial"/>
                <w:b/>
                <w:bCs/>
                <w:sz w:val="20"/>
                <w:szCs w:val="20"/>
              </w:rPr>
              <w:t>CAR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2,691,805.95</w:t>
            </w:r>
          </w:p>
        </w:tc>
        <w:tc>
          <w:tcPr>
            <w:tcW w:w="3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15,900</w:t>
            </w:r>
          </w:p>
        </w:tc>
        <w:tc>
          <w:tcPr>
            <w:tcW w:w="5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5,961,474.80</w:t>
            </w:r>
          </w:p>
        </w:tc>
        <w:tc>
          <w:tcPr>
            <w:tcW w:w="5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5,376,640.30</w:t>
            </w:r>
          </w:p>
        </w:tc>
        <w:tc>
          <w:tcPr>
            <w:tcW w:w="5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4,912,718.60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10,289,358.90</w:t>
            </w:r>
          </w:p>
        </w:tc>
        <w:tc>
          <w:tcPr>
            <w:tcW w:w="9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0385" w:rsidRPr="00460385" w:rsidRDefault="00460385" w:rsidP="00D22211">
            <w:pPr>
              <w:jc w:val="center"/>
              <w:rPr>
                <w:rFonts w:ascii="Arial Narrow" w:hAnsi="Arial Narrow" w:cs="Arial"/>
                <w:sz w:val="20"/>
                <w:szCs w:val="20"/>
              </w:rPr>
            </w:pPr>
            <w:r w:rsidRPr="00460385">
              <w:rPr>
                <w:rFonts w:ascii="Arial Narrow" w:hAnsi="Arial Narrow" w:cs="Arial"/>
                <w:sz w:val="20"/>
                <w:szCs w:val="20"/>
              </w:rPr>
              <w:t>18,942,639.65</w:t>
            </w:r>
          </w:p>
        </w:tc>
      </w:tr>
    </w:tbl>
    <w:p w:rsidR="004C5385" w:rsidRPr="00775377" w:rsidRDefault="00223D7C" w:rsidP="004808D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7" w:name="_Situational_Report_1"/>
      <w:bookmarkEnd w:id="7"/>
      <w:r w:rsidR="00D700D1" w:rsidRPr="00D700D1">
        <w:rPr>
          <w:rFonts w:ascii="Arial" w:hAnsi="Arial" w:cs="Arial"/>
          <w:i/>
          <w:sz w:val="20"/>
          <w:szCs w:val="24"/>
        </w:rPr>
        <w:t xml:space="preserve">Quick Response Fund (QRF) as of </w:t>
      </w:r>
      <w:r w:rsidR="00460385">
        <w:rPr>
          <w:rFonts w:ascii="Arial" w:hAnsi="Arial" w:cs="Arial"/>
          <w:i/>
          <w:sz w:val="20"/>
          <w:szCs w:val="24"/>
        </w:rPr>
        <w:t>12</w:t>
      </w:r>
      <w:r>
        <w:rPr>
          <w:rFonts w:ascii="Arial" w:hAnsi="Arial" w:cs="Arial"/>
          <w:i/>
          <w:sz w:val="20"/>
          <w:szCs w:val="24"/>
        </w:rPr>
        <w:t xml:space="preserve"> Ju</w:t>
      </w:r>
      <w:r w:rsidR="00460385">
        <w:rPr>
          <w:rFonts w:ascii="Arial" w:hAnsi="Arial" w:cs="Arial"/>
          <w:i/>
          <w:sz w:val="20"/>
          <w:szCs w:val="24"/>
        </w:rPr>
        <w:t>ly</w:t>
      </w:r>
      <w:r>
        <w:rPr>
          <w:rFonts w:ascii="Arial" w:hAnsi="Arial" w:cs="Arial"/>
          <w:i/>
          <w:sz w:val="20"/>
          <w:szCs w:val="24"/>
        </w:rPr>
        <w:t xml:space="preserve"> </w:t>
      </w:r>
      <w:r w:rsidR="00D700D1" w:rsidRPr="00D700D1">
        <w:rPr>
          <w:rFonts w:ascii="Arial" w:hAnsi="Arial" w:cs="Arial"/>
          <w:i/>
          <w:sz w:val="20"/>
          <w:szCs w:val="24"/>
        </w:rPr>
        <w:t>2019</w:t>
      </w: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814CFB" w:rsidP="00D2221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sidRPr="007412EE">
              <w:rPr>
                <w:rFonts w:ascii="Arial" w:eastAsia="Arial" w:hAnsi="Arial" w:cs="Arial"/>
                <w:color w:val="0070C0"/>
                <w:sz w:val="24"/>
                <w:szCs w:val="24"/>
              </w:rPr>
              <w:t>16</w:t>
            </w:r>
            <w:r w:rsidR="00454E8A" w:rsidRPr="007412EE">
              <w:rPr>
                <w:rFonts w:ascii="Arial" w:eastAsia="Arial" w:hAnsi="Arial" w:cs="Arial"/>
                <w:color w:val="0070C0"/>
                <w:sz w:val="24"/>
                <w:szCs w:val="24"/>
              </w:rPr>
              <w:t xml:space="preserve"> </w:t>
            </w:r>
            <w:r w:rsidR="00515F7A" w:rsidRPr="007412EE">
              <w:rPr>
                <w:rFonts w:ascii="Arial" w:eastAsia="Arial" w:hAnsi="Arial" w:cs="Arial"/>
                <w:color w:val="0070C0"/>
                <w:sz w:val="24"/>
                <w:szCs w:val="24"/>
              </w:rPr>
              <w:t>July</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7412E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D700D1" w:rsidRPr="007412EE">
              <w:rPr>
                <w:rFonts w:ascii="Arial" w:eastAsia="Arial" w:hAnsi="Arial" w:cs="Arial"/>
                <w:color w:val="0070C0"/>
                <w:sz w:val="24"/>
                <w:szCs w:val="24"/>
              </w:rPr>
              <w:t xml:space="preserve">is </w:t>
            </w:r>
            <w:r w:rsidR="007412EE">
              <w:rPr>
                <w:rFonts w:ascii="Arial" w:eastAsia="Arial" w:hAnsi="Arial" w:cs="Arial"/>
                <w:color w:val="0070C0"/>
                <w:sz w:val="24"/>
                <w:szCs w:val="24"/>
              </w:rPr>
              <w:t xml:space="preserve">on </w:t>
            </w:r>
            <w:r w:rsidR="007412EE" w:rsidRPr="007412EE">
              <w:rPr>
                <w:rFonts w:ascii="Arial" w:eastAsia="Arial" w:hAnsi="Arial" w:cs="Arial"/>
                <w:b/>
                <w:color w:val="0070C0"/>
                <w:sz w:val="24"/>
                <w:szCs w:val="24"/>
              </w:rPr>
              <w:t xml:space="preserve">BLUE </w:t>
            </w:r>
            <w:r w:rsidR="007412EE">
              <w:rPr>
                <w:rFonts w:ascii="Arial" w:eastAsia="Arial" w:hAnsi="Arial" w:cs="Arial"/>
                <w:color w:val="0070C0"/>
                <w:sz w:val="24"/>
                <w:szCs w:val="24"/>
              </w:rPr>
              <w:t xml:space="preserve">Alert Status and is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p w:rsidR="00C15DBE" w:rsidRPr="007412E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1E1043" w:rsidRPr="00BE43F9" w:rsidRDefault="001E1043" w:rsidP="00816A95">
      <w:pPr>
        <w:tabs>
          <w:tab w:val="left" w:pos="1384"/>
        </w:tabs>
        <w:spacing w:after="0" w:line="240" w:lineRule="auto"/>
        <w:contextualSpacing/>
        <w:rPr>
          <w:rFonts w:ascii="Arial" w:eastAsia="Arial" w:hAnsi="Arial" w:cs="Arial"/>
          <w:i/>
          <w:sz w:val="24"/>
          <w:szCs w:val="24"/>
        </w:rPr>
      </w:pPr>
    </w:p>
    <w:p w:rsidR="00904E27" w:rsidRPr="00BE43F9" w:rsidRDefault="00904E27" w:rsidP="00904E27">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515F7A">
        <w:rPr>
          <w:rFonts w:ascii="Arial" w:eastAsia="Arial" w:hAnsi="Arial" w:cs="Arial"/>
          <w:b/>
          <w:sz w:val="24"/>
          <w:szCs w:val="24"/>
        </w:rPr>
        <w:t>CAR</w:t>
      </w:r>
    </w:p>
    <w:tbl>
      <w:tblPr>
        <w:tblW w:w="5000" w:type="pct"/>
        <w:tblLook w:val="0400" w:firstRow="0" w:lastRow="0" w:firstColumn="0" w:lastColumn="0" w:noHBand="0" w:noVBand="1"/>
      </w:tblPr>
      <w:tblGrid>
        <w:gridCol w:w="2822"/>
        <w:gridCol w:w="12533"/>
      </w:tblGrid>
      <w:tr w:rsidR="00904E27" w:rsidRPr="00BE43F9" w:rsidTr="0029293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04E27" w:rsidRPr="00BE43F9" w:rsidTr="0029293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515F7A" w:rsidRDefault="00515F7A" w:rsidP="007412E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515F7A">
              <w:rPr>
                <w:rFonts w:ascii="Arial" w:hAnsi="Arial" w:cs="Arial"/>
                <w:color w:val="000000" w:themeColor="text1"/>
                <w:sz w:val="24"/>
                <w:szCs w:val="24"/>
              </w:rPr>
              <w:t>1</w:t>
            </w:r>
            <w:r w:rsidR="00814CFB">
              <w:rPr>
                <w:rFonts w:ascii="Arial" w:hAnsi="Arial" w:cs="Arial"/>
                <w:color w:val="000000" w:themeColor="text1"/>
                <w:sz w:val="24"/>
                <w:szCs w:val="24"/>
              </w:rPr>
              <w:t>6</w:t>
            </w:r>
            <w:r w:rsidRPr="00515F7A">
              <w:rPr>
                <w:rFonts w:ascii="Arial" w:hAnsi="Arial" w:cs="Arial"/>
                <w:color w:val="000000" w:themeColor="text1"/>
                <w:sz w:val="24"/>
                <w:szCs w:val="24"/>
              </w:rPr>
              <w:t xml:space="preserve">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0E80" w:rsidRDefault="00515F7A"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Disaster Response Operations Monitoring and Information Center (DROMIC) of the DSWD-FO CAR is on </w:t>
            </w:r>
            <w:r w:rsidR="00D22211" w:rsidRPr="00D22211">
              <w:rPr>
                <w:rFonts w:ascii="Arial" w:eastAsia="Arial" w:hAnsi="Arial" w:cs="Arial"/>
                <w:b/>
                <w:color w:val="0070C0"/>
                <w:sz w:val="24"/>
                <w:szCs w:val="24"/>
              </w:rPr>
              <w:t>BLUE</w:t>
            </w:r>
            <w:r w:rsidR="00D22211" w:rsidRPr="00D22211">
              <w:rPr>
                <w:rFonts w:ascii="Arial" w:eastAsia="Arial" w:hAnsi="Arial" w:cs="Arial"/>
                <w:sz w:val="24"/>
                <w:szCs w:val="24"/>
              </w:rPr>
              <w:t xml:space="preserve"> Alert Level Status.</w:t>
            </w:r>
            <w:r w:rsidR="00D22211">
              <w:rPr>
                <w:rFonts w:ascii="Arial" w:eastAsia="Arial" w:hAnsi="Arial" w:cs="Arial"/>
                <w:sz w:val="24"/>
                <w:szCs w:val="24"/>
              </w:rPr>
              <w:t xml:space="preserve"> </w:t>
            </w:r>
          </w:p>
          <w:p w:rsidR="00F67130" w:rsidRDefault="00F67130" w:rsidP="000103C6">
            <w:pPr>
              <w:pStyle w:val="ListParagraph"/>
              <w:numPr>
                <w:ilvl w:val="0"/>
                <w:numId w:val="1"/>
              </w:numPr>
              <w:spacing w:after="0" w:line="240" w:lineRule="auto"/>
              <w:ind w:left="323"/>
              <w:jc w:val="both"/>
              <w:rPr>
                <w:rFonts w:ascii="Arial" w:eastAsia="Arial" w:hAnsi="Arial" w:cs="Arial"/>
                <w:sz w:val="24"/>
                <w:szCs w:val="24"/>
              </w:rPr>
            </w:pPr>
            <w:r w:rsidRPr="00F67130">
              <w:rPr>
                <w:rFonts w:ascii="Arial" w:eastAsia="Arial" w:hAnsi="Arial" w:cs="Arial"/>
                <w:sz w:val="24"/>
                <w:szCs w:val="24"/>
              </w:rPr>
              <w:t>The Provincial Social Welfare and Development Teams (PSWADT) DRMD</w:t>
            </w:r>
            <w:r>
              <w:rPr>
                <w:rFonts w:ascii="Arial" w:eastAsia="Arial" w:hAnsi="Arial" w:cs="Arial"/>
                <w:sz w:val="24"/>
                <w:szCs w:val="24"/>
              </w:rPr>
              <w:t xml:space="preserve"> </w:t>
            </w:r>
            <w:r w:rsidR="006A5D7C">
              <w:rPr>
                <w:rFonts w:ascii="Arial" w:eastAsia="Arial" w:hAnsi="Arial" w:cs="Arial"/>
                <w:sz w:val="24"/>
                <w:szCs w:val="24"/>
              </w:rPr>
              <w:t>PDO IIs are alerted; members are on standby for</w:t>
            </w:r>
            <w:r w:rsidRPr="00F67130">
              <w:rPr>
                <w:rFonts w:ascii="Arial" w:eastAsia="Arial" w:hAnsi="Arial" w:cs="Arial"/>
                <w:sz w:val="24"/>
                <w:szCs w:val="24"/>
              </w:rPr>
              <w:t xml:space="preserve"> possible effects of</w:t>
            </w:r>
            <w:r>
              <w:rPr>
                <w:rFonts w:ascii="Arial" w:eastAsia="Arial" w:hAnsi="Arial" w:cs="Arial"/>
                <w:sz w:val="24"/>
                <w:szCs w:val="24"/>
              </w:rPr>
              <w:t xml:space="preserve"> </w:t>
            </w:r>
            <w:r w:rsidRPr="00F67130">
              <w:rPr>
                <w:rFonts w:ascii="Arial" w:eastAsia="Arial" w:hAnsi="Arial" w:cs="Arial"/>
                <w:sz w:val="24"/>
                <w:szCs w:val="24"/>
              </w:rPr>
              <w:t>the weather disturbance.</w:t>
            </w:r>
          </w:p>
          <w:p w:rsidR="00F67130" w:rsidRPr="006A5D7C" w:rsidRDefault="00F67130" w:rsidP="000103C6">
            <w:pPr>
              <w:pStyle w:val="ListParagraph"/>
              <w:numPr>
                <w:ilvl w:val="0"/>
                <w:numId w:val="1"/>
              </w:numPr>
              <w:spacing w:after="0" w:line="240" w:lineRule="auto"/>
              <w:ind w:left="323"/>
              <w:jc w:val="both"/>
              <w:rPr>
                <w:rFonts w:ascii="Arial" w:eastAsia="Arial" w:hAnsi="Arial" w:cs="Arial"/>
                <w:sz w:val="24"/>
                <w:szCs w:val="24"/>
              </w:rPr>
            </w:pPr>
            <w:r w:rsidRPr="00F67130">
              <w:rPr>
                <w:rFonts w:ascii="Arial" w:eastAsia="Arial" w:hAnsi="Arial" w:cs="Arial"/>
                <w:sz w:val="24"/>
                <w:szCs w:val="24"/>
              </w:rPr>
              <w:t>Rapid Emergency Telecommunications Team (RETT) including the</w:t>
            </w:r>
            <w:r>
              <w:rPr>
                <w:rFonts w:ascii="Arial" w:eastAsia="Arial" w:hAnsi="Arial" w:cs="Arial"/>
                <w:sz w:val="24"/>
                <w:szCs w:val="24"/>
              </w:rPr>
              <w:t xml:space="preserve"> </w:t>
            </w:r>
            <w:r w:rsidRPr="00F67130">
              <w:rPr>
                <w:rFonts w:ascii="Arial" w:eastAsia="Arial" w:hAnsi="Arial" w:cs="Arial"/>
                <w:sz w:val="24"/>
                <w:szCs w:val="24"/>
              </w:rPr>
              <w:t>International Maritime/Marine Satellite (INMARSAT) equipment are on standby.</w:t>
            </w:r>
          </w:p>
        </w:tc>
      </w:tr>
    </w:tbl>
    <w:p w:rsidR="00904E27" w:rsidRDefault="00904E27" w:rsidP="00816A95">
      <w:pPr>
        <w:spacing w:after="0" w:line="240" w:lineRule="auto"/>
        <w:contextualSpacing/>
        <w:rPr>
          <w:rFonts w:ascii="Arial" w:eastAsia="Arial" w:hAnsi="Arial" w:cs="Arial"/>
          <w:b/>
          <w:sz w:val="24"/>
          <w:szCs w:val="24"/>
        </w:rPr>
      </w:pPr>
    </w:p>
    <w:p w:rsidR="00C36108" w:rsidRDefault="00C36108" w:rsidP="00C3610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C36108" w:rsidRPr="00BE43F9" w:rsidTr="00C3575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C36108" w:rsidRPr="00BE43F9" w:rsidTr="00C35750">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3" w:rsidRDefault="00C36108" w:rsidP="00C35750">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7"/>
              <w:jc w:val="center"/>
              <w:rPr>
                <w:rFonts w:ascii="Arial" w:eastAsia="Arial" w:hAnsi="Arial" w:cs="Arial"/>
                <w:color w:val="0070C0"/>
                <w:sz w:val="24"/>
                <w:szCs w:val="24"/>
              </w:rPr>
            </w:pPr>
            <w:r w:rsidRPr="00BE43F3">
              <w:rPr>
                <w:rFonts w:ascii="Arial" w:hAnsi="Arial" w:cs="Arial"/>
                <w:color w:val="0070C0"/>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Default="00C36108" w:rsidP="00C36108">
            <w:pPr>
              <w:pStyle w:val="ListParagraph"/>
              <w:numPr>
                <w:ilvl w:val="0"/>
                <w:numId w:val="1"/>
              </w:numPr>
              <w:spacing w:after="0" w:line="240" w:lineRule="auto"/>
              <w:ind w:left="322" w:hanging="322"/>
              <w:jc w:val="both"/>
              <w:rPr>
                <w:rFonts w:ascii="Arial" w:eastAsia="Arial" w:hAnsi="Arial" w:cs="Arial"/>
                <w:color w:val="0070C0"/>
                <w:sz w:val="24"/>
                <w:szCs w:val="24"/>
              </w:rPr>
            </w:pPr>
            <w:r>
              <w:rPr>
                <w:rFonts w:ascii="Arial" w:eastAsia="Arial" w:hAnsi="Arial" w:cs="Arial"/>
                <w:color w:val="0070C0"/>
                <w:sz w:val="24"/>
                <w:szCs w:val="24"/>
              </w:rPr>
              <w:t xml:space="preserve">The Disaster Response Management Division (DRMD) staff of </w:t>
            </w:r>
            <w:r w:rsidRPr="00BE43F3">
              <w:rPr>
                <w:rFonts w:ascii="Arial" w:eastAsia="Arial" w:hAnsi="Arial" w:cs="Arial"/>
                <w:color w:val="0070C0"/>
                <w:sz w:val="24"/>
                <w:szCs w:val="24"/>
              </w:rPr>
              <w:t xml:space="preserve">DSWD-FO </w:t>
            </w:r>
            <w:r>
              <w:rPr>
                <w:rFonts w:ascii="Arial" w:eastAsia="Arial" w:hAnsi="Arial" w:cs="Arial"/>
                <w:color w:val="0070C0"/>
                <w:sz w:val="24"/>
                <w:szCs w:val="24"/>
              </w:rPr>
              <w:t xml:space="preserve">I together with the </w:t>
            </w:r>
            <w:r w:rsidRPr="00C36108">
              <w:rPr>
                <w:rFonts w:ascii="Arial" w:eastAsia="Arial" w:hAnsi="Arial" w:cs="Arial"/>
                <w:color w:val="0070C0"/>
                <w:sz w:val="24"/>
                <w:szCs w:val="24"/>
              </w:rPr>
              <w:t>Provincial Operations Offices (POOs) are closely monitoring the possible</w:t>
            </w:r>
            <w:r>
              <w:rPr>
                <w:rFonts w:ascii="Arial" w:eastAsia="Arial" w:hAnsi="Arial" w:cs="Arial"/>
                <w:color w:val="0070C0"/>
                <w:sz w:val="24"/>
                <w:szCs w:val="24"/>
              </w:rPr>
              <w:t xml:space="preserve"> </w:t>
            </w:r>
            <w:r w:rsidRPr="00C36108">
              <w:rPr>
                <w:rFonts w:ascii="Arial" w:eastAsia="Arial" w:hAnsi="Arial" w:cs="Arial"/>
                <w:color w:val="0070C0"/>
                <w:sz w:val="24"/>
                <w:szCs w:val="24"/>
              </w:rPr>
              <w:t>effects of the current weather condition and ensuring submission of reports</w:t>
            </w:r>
            <w:r>
              <w:rPr>
                <w:rFonts w:ascii="Arial" w:eastAsia="Arial" w:hAnsi="Arial" w:cs="Arial"/>
                <w:color w:val="0070C0"/>
                <w:sz w:val="24"/>
                <w:szCs w:val="24"/>
              </w:rPr>
              <w:t xml:space="preserve"> </w:t>
            </w:r>
            <w:r w:rsidRPr="00C36108">
              <w:rPr>
                <w:rFonts w:ascii="Arial" w:eastAsia="Arial" w:hAnsi="Arial" w:cs="Arial"/>
                <w:color w:val="0070C0"/>
                <w:sz w:val="24"/>
                <w:szCs w:val="24"/>
              </w:rPr>
              <w:t xml:space="preserve">when needed. </w:t>
            </w:r>
          </w:p>
          <w:p w:rsidR="00C36108" w:rsidRPr="00C36108" w:rsidRDefault="00C36108" w:rsidP="00C36108">
            <w:pPr>
              <w:pStyle w:val="ListParagraph"/>
              <w:numPr>
                <w:ilvl w:val="0"/>
                <w:numId w:val="1"/>
              </w:numPr>
              <w:spacing w:after="0" w:line="240" w:lineRule="auto"/>
              <w:ind w:left="322" w:hanging="322"/>
              <w:jc w:val="both"/>
              <w:rPr>
                <w:rFonts w:ascii="Arial" w:eastAsia="Arial" w:hAnsi="Arial" w:cs="Arial"/>
                <w:color w:val="0070C0"/>
                <w:sz w:val="24"/>
                <w:szCs w:val="24"/>
              </w:rPr>
            </w:pPr>
            <w:r>
              <w:rPr>
                <w:rFonts w:ascii="Arial" w:eastAsia="Arial" w:hAnsi="Arial" w:cs="Arial"/>
                <w:color w:val="0070C0"/>
                <w:sz w:val="24"/>
                <w:szCs w:val="24"/>
              </w:rPr>
              <w:t xml:space="preserve">DRMD attended </w:t>
            </w:r>
            <w:r w:rsidRPr="00C36108">
              <w:rPr>
                <w:rFonts w:ascii="Arial" w:eastAsia="Arial" w:hAnsi="Arial" w:cs="Arial"/>
                <w:color w:val="0070C0"/>
                <w:sz w:val="24"/>
                <w:szCs w:val="24"/>
              </w:rPr>
              <w:t>and presided the Emergency Response Plan (ERP)/ Pre-Disaster Risk</w:t>
            </w:r>
            <w:r>
              <w:rPr>
                <w:rFonts w:ascii="Arial" w:eastAsia="Arial" w:hAnsi="Arial" w:cs="Arial"/>
                <w:color w:val="0070C0"/>
                <w:sz w:val="24"/>
                <w:szCs w:val="24"/>
              </w:rPr>
              <w:t xml:space="preserve"> </w:t>
            </w:r>
            <w:r w:rsidRPr="00C36108">
              <w:rPr>
                <w:rFonts w:ascii="Arial" w:eastAsia="Arial" w:hAnsi="Arial" w:cs="Arial"/>
                <w:color w:val="0070C0"/>
                <w:sz w:val="24"/>
                <w:szCs w:val="24"/>
              </w:rPr>
              <w:t>Assessment (PDRA) Meeting at the Regional Disaster Risk Reduction and</w:t>
            </w:r>
            <w:r>
              <w:rPr>
                <w:rFonts w:ascii="Arial" w:eastAsia="Arial" w:hAnsi="Arial" w:cs="Arial"/>
                <w:color w:val="0070C0"/>
                <w:sz w:val="24"/>
                <w:szCs w:val="24"/>
              </w:rPr>
              <w:t xml:space="preserve"> </w:t>
            </w:r>
            <w:r w:rsidRPr="00C36108">
              <w:rPr>
                <w:rFonts w:ascii="Arial" w:eastAsia="Arial" w:hAnsi="Arial" w:cs="Arial"/>
                <w:color w:val="0070C0"/>
                <w:sz w:val="24"/>
                <w:szCs w:val="24"/>
              </w:rPr>
              <w:t>Management Council Emergency Operations Center (RDRRMC-E</w:t>
            </w:r>
            <w:r>
              <w:rPr>
                <w:rFonts w:ascii="Arial" w:eastAsia="Arial" w:hAnsi="Arial" w:cs="Arial"/>
                <w:color w:val="0070C0"/>
                <w:sz w:val="24"/>
                <w:szCs w:val="24"/>
              </w:rPr>
              <w:t xml:space="preserve">OC) </w:t>
            </w:r>
            <w:r w:rsidRPr="00C36108">
              <w:rPr>
                <w:rFonts w:ascii="Arial" w:eastAsia="Arial" w:hAnsi="Arial" w:cs="Arial"/>
                <w:color w:val="0070C0"/>
                <w:sz w:val="24"/>
                <w:szCs w:val="24"/>
              </w:rPr>
              <w:t>to synchronize</w:t>
            </w:r>
            <w:r>
              <w:rPr>
                <w:rFonts w:ascii="Arial" w:eastAsia="Arial" w:hAnsi="Arial" w:cs="Arial"/>
                <w:color w:val="0070C0"/>
                <w:sz w:val="24"/>
                <w:szCs w:val="24"/>
              </w:rPr>
              <w:t xml:space="preserve"> </w:t>
            </w:r>
            <w:r w:rsidRPr="00C36108">
              <w:rPr>
                <w:rFonts w:ascii="Arial" w:eastAsia="Arial" w:hAnsi="Arial" w:cs="Arial"/>
                <w:color w:val="0070C0"/>
                <w:sz w:val="24"/>
                <w:szCs w:val="24"/>
              </w:rPr>
              <w:t>plans and activities that would lessen the adverse effect that might be brought</w:t>
            </w:r>
            <w:r>
              <w:rPr>
                <w:rFonts w:ascii="Arial" w:eastAsia="Arial" w:hAnsi="Arial" w:cs="Arial"/>
                <w:color w:val="0070C0"/>
                <w:sz w:val="24"/>
                <w:szCs w:val="24"/>
              </w:rPr>
              <w:t xml:space="preserve"> </w:t>
            </w:r>
            <w:r w:rsidRPr="00C36108">
              <w:rPr>
                <w:rFonts w:ascii="Arial" w:eastAsia="Arial" w:hAnsi="Arial" w:cs="Arial"/>
                <w:color w:val="0070C0"/>
                <w:sz w:val="24"/>
                <w:szCs w:val="24"/>
              </w:rPr>
              <w:t>by the tropical depression.</w:t>
            </w:r>
          </w:p>
        </w:tc>
      </w:tr>
    </w:tbl>
    <w:p w:rsidR="00251556" w:rsidRDefault="00251556" w:rsidP="00F67130">
      <w:pPr>
        <w:spacing w:after="0" w:line="240" w:lineRule="auto"/>
        <w:contextualSpacing/>
        <w:rPr>
          <w:rFonts w:ascii="Arial" w:eastAsia="Arial" w:hAnsi="Arial" w:cs="Arial"/>
          <w:b/>
          <w:sz w:val="24"/>
          <w:szCs w:val="24"/>
        </w:rPr>
      </w:pPr>
    </w:p>
    <w:p w:rsidR="00251556" w:rsidRDefault="00251556" w:rsidP="00F67130">
      <w:pPr>
        <w:spacing w:after="0" w:line="240" w:lineRule="auto"/>
        <w:contextualSpacing/>
        <w:rPr>
          <w:rFonts w:ascii="Arial" w:eastAsia="Arial" w:hAnsi="Arial" w:cs="Arial"/>
          <w:b/>
          <w:sz w:val="24"/>
          <w:szCs w:val="24"/>
        </w:rPr>
      </w:pPr>
    </w:p>
    <w:p w:rsidR="00251556" w:rsidRDefault="00251556" w:rsidP="00F67130">
      <w:pPr>
        <w:spacing w:after="0" w:line="240" w:lineRule="auto"/>
        <w:contextualSpacing/>
        <w:rPr>
          <w:rFonts w:ascii="Arial" w:eastAsia="Arial" w:hAnsi="Arial" w:cs="Arial"/>
          <w:b/>
          <w:sz w:val="24"/>
          <w:szCs w:val="24"/>
        </w:rPr>
      </w:pPr>
    </w:p>
    <w:p w:rsidR="00251556" w:rsidRDefault="00251556" w:rsidP="00F67130">
      <w:pPr>
        <w:spacing w:after="0" w:line="240" w:lineRule="auto"/>
        <w:contextualSpacing/>
        <w:rPr>
          <w:rFonts w:ascii="Arial" w:eastAsia="Arial" w:hAnsi="Arial" w:cs="Arial"/>
          <w:b/>
          <w:sz w:val="24"/>
          <w:szCs w:val="24"/>
        </w:rPr>
      </w:pPr>
    </w:p>
    <w:p w:rsidR="00F67130" w:rsidRDefault="00F67130" w:rsidP="00F67130">
      <w:pPr>
        <w:spacing w:after="0" w:line="240" w:lineRule="auto"/>
        <w:contextualSpacing/>
        <w:rPr>
          <w:rFonts w:ascii="Arial" w:eastAsia="Arial" w:hAnsi="Arial" w:cs="Arial"/>
          <w:b/>
          <w:sz w:val="24"/>
          <w:szCs w:val="24"/>
        </w:rPr>
      </w:pPr>
      <w:bookmarkStart w:id="9" w:name="_GoBack"/>
      <w:bookmarkEnd w:id="9"/>
      <w:r w:rsidRPr="00BE43F9">
        <w:rPr>
          <w:rFonts w:ascii="Arial" w:eastAsia="Arial" w:hAnsi="Arial" w:cs="Arial"/>
          <w:b/>
          <w:sz w:val="24"/>
          <w:szCs w:val="24"/>
        </w:rPr>
        <w:lastRenderedPageBreak/>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F67130"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BE43F9" w:rsidRDefault="00F67130"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BE43F9" w:rsidRDefault="00F67130"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67130"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7130" w:rsidRPr="00BE43F3" w:rsidRDefault="00F67130" w:rsidP="007412EE">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7"/>
              <w:jc w:val="center"/>
              <w:rPr>
                <w:rFonts w:ascii="Arial" w:eastAsia="Arial" w:hAnsi="Arial" w:cs="Arial"/>
                <w:color w:val="0070C0"/>
                <w:sz w:val="24"/>
                <w:szCs w:val="24"/>
              </w:rPr>
            </w:pPr>
            <w:r w:rsidRPr="00BE43F3">
              <w:rPr>
                <w:rFonts w:ascii="Arial" w:hAnsi="Arial" w:cs="Arial"/>
                <w:color w:val="0070C0"/>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E43F3" w:rsidRDefault="00F67130" w:rsidP="00BE43F3">
            <w:pPr>
              <w:pStyle w:val="ListParagraph"/>
              <w:numPr>
                <w:ilvl w:val="0"/>
                <w:numId w:val="1"/>
              </w:numPr>
              <w:spacing w:after="0" w:line="240" w:lineRule="auto"/>
              <w:ind w:left="323"/>
              <w:jc w:val="both"/>
              <w:rPr>
                <w:rFonts w:ascii="Arial" w:eastAsia="Arial" w:hAnsi="Arial" w:cs="Arial"/>
                <w:color w:val="0070C0"/>
                <w:sz w:val="24"/>
                <w:szCs w:val="24"/>
              </w:rPr>
            </w:pPr>
            <w:r w:rsidRPr="00BE43F3">
              <w:rPr>
                <w:rFonts w:ascii="Arial" w:eastAsia="Arial" w:hAnsi="Arial" w:cs="Arial"/>
                <w:color w:val="0070C0"/>
                <w:sz w:val="24"/>
                <w:szCs w:val="24"/>
              </w:rPr>
              <w:t xml:space="preserve">DSWD-FO II is </w:t>
            </w:r>
            <w:r w:rsidR="00BE43F3">
              <w:rPr>
                <w:rFonts w:ascii="Arial" w:eastAsia="Arial" w:hAnsi="Arial" w:cs="Arial"/>
                <w:b/>
                <w:color w:val="FF0000"/>
                <w:sz w:val="24"/>
                <w:szCs w:val="24"/>
              </w:rPr>
              <w:t>RED</w:t>
            </w:r>
            <w:r w:rsidR="00BE43F3" w:rsidRPr="007412EE">
              <w:rPr>
                <w:rFonts w:ascii="Arial" w:eastAsia="Arial" w:hAnsi="Arial" w:cs="Arial"/>
                <w:b/>
                <w:color w:val="0070C0"/>
                <w:sz w:val="24"/>
                <w:szCs w:val="24"/>
              </w:rPr>
              <w:t xml:space="preserve"> </w:t>
            </w:r>
            <w:r w:rsidR="00BC551C" w:rsidRPr="00BC551C">
              <w:rPr>
                <w:rFonts w:ascii="Arial" w:eastAsia="Arial" w:hAnsi="Arial" w:cs="Arial"/>
                <w:color w:val="0070C0"/>
                <w:sz w:val="24"/>
                <w:szCs w:val="24"/>
              </w:rPr>
              <w:t xml:space="preserve">on </w:t>
            </w:r>
            <w:r w:rsidR="00BE43F3">
              <w:rPr>
                <w:rFonts w:ascii="Arial" w:eastAsia="Arial" w:hAnsi="Arial" w:cs="Arial"/>
                <w:color w:val="0070C0"/>
                <w:sz w:val="24"/>
                <w:szCs w:val="24"/>
              </w:rPr>
              <w:t>Alert Status. Thus, the Regional Disaster Management and Response Team (RDMRT), SWAD Cagayan and Isabela, C/MATS of the said provinces are now on 24-hour duty to monitor the possible effects of TD Falcon.</w:t>
            </w:r>
          </w:p>
          <w:p w:rsidR="00BE43F3" w:rsidRDefault="00BE43F3" w:rsidP="00BE43F3">
            <w:pPr>
              <w:pStyle w:val="ListParagraph"/>
              <w:numPr>
                <w:ilvl w:val="0"/>
                <w:numId w:val="1"/>
              </w:numPr>
              <w:spacing w:after="0" w:line="240" w:lineRule="auto"/>
              <w:ind w:left="323"/>
              <w:jc w:val="both"/>
              <w:rPr>
                <w:rFonts w:ascii="Arial" w:eastAsia="Arial" w:hAnsi="Arial" w:cs="Arial"/>
                <w:color w:val="0070C0"/>
                <w:sz w:val="24"/>
                <w:szCs w:val="24"/>
              </w:rPr>
            </w:pPr>
            <w:r w:rsidRPr="00BE43F3">
              <w:rPr>
                <w:rFonts w:ascii="Arial" w:eastAsia="Arial" w:hAnsi="Arial" w:cs="Arial"/>
                <w:color w:val="0070C0"/>
                <w:sz w:val="24"/>
                <w:szCs w:val="24"/>
              </w:rPr>
              <w:t xml:space="preserve">As per report of SWAD Team Leader of </w:t>
            </w:r>
            <w:proofErr w:type="spellStart"/>
            <w:r w:rsidRPr="00BE43F3">
              <w:rPr>
                <w:rFonts w:ascii="Arial" w:eastAsia="Arial" w:hAnsi="Arial" w:cs="Arial"/>
                <w:color w:val="0070C0"/>
                <w:sz w:val="24"/>
                <w:szCs w:val="24"/>
              </w:rPr>
              <w:t>Batanes</w:t>
            </w:r>
            <w:proofErr w:type="spellEnd"/>
            <w:r w:rsidRPr="00BE43F3">
              <w:rPr>
                <w:rFonts w:ascii="Arial" w:eastAsia="Arial" w:hAnsi="Arial" w:cs="Arial"/>
                <w:color w:val="0070C0"/>
                <w:sz w:val="24"/>
                <w:szCs w:val="24"/>
              </w:rPr>
              <w:t>, the</w:t>
            </w:r>
            <w:r>
              <w:rPr>
                <w:rFonts w:ascii="Arial" w:eastAsia="Arial" w:hAnsi="Arial" w:cs="Arial"/>
                <w:color w:val="0070C0"/>
                <w:sz w:val="24"/>
                <w:szCs w:val="24"/>
              </w:rPr>
              <w:t xml:space="preserve"> </w:t>
            </w:r>
            <w:r w:rsidRPr="00BE43F3">
              <w:rPr>
                <w:rFonts w:ascii="Arial" w:eastAsia="Arial" w:hAnsi="Arial" w:cs="Arial"/>
                <w:color w:val="0070C0"/>
                <w:sz w:val="24"/>
                <w:szCs w:val="24"/>
              </w:rPr>
              <w:t>PDRRMO already distributed n</w:t>
            </w:r>
            <w:r>
              <w:rPr>
                <w:rFonts w:ascii="Arial" w:eastAsia="Arial" w:hAnsi="Arial" w:cs="Arial"/>
                <w:color w:val="0070C0"/>
                <w:sz w:val="24"/>
                <w:szCs w:val="24"/>
              </w:rPr>
              <w:t>ylon ropes to all houses made</w:t>
            </w:r>
            <w:r w:rsidRPr="00BE43F3">
              <w:rPr>
                <w:rFonts w:ascii="Arial" w:eastAsia="Arial" w:hAnsi="Arial" w:cs="Arial"/>
                <w:color w:val="0070C0"/>
                <w:sz w:val="24"/>
                <w:szCs w:val="24"/>
              </w:rPr>
              <w:t xml:space="preserve"> of light materials</w:t>
            </w:r>
            <w:r>
              <w:rPr>
                <w:rFonts w:ascii="Arial" w:eastAsia="Arial" w:hAnsi="Arial" w:cs="Arial"/>
                <w:color w:val="0070C0"/>
                <w:sz w:val="24"/>
                <w:szCs w:val="24"/>
              </w:rPr>
              <w:t xml:space="preserve"> </w:t>
            </w:r>
            <w:r w:rsidRPr="00BE43F3">
              <w:rPr>
                <w:rFonts w:ascii="Arial" w:eastAsia="Arial" w:hAnsi="Arial" w:cs="Arial"/>
                <w:color w:val="0070C0"/>
                <w:sz w:val="24"/>
                <w:szCs w:val="24"/>
              </w:rPr>
              <w:t>to six municipalities in the event that TD Falcon accelerates its strength.</w:t>
            </w:r>
          </w:p>
          <w:p w:rsidR="00F67130" w:rsidRPr="00BE43F3" w:rsidRDefault="00BE43F3" w:rsidP="00BE43F3">
            <w:pPr>
              <w:pStyle w:val="ListParagraph"/>
              <w:numPr>
                <w:ilvl w:val="0"/>
                <w:numId w:val="1"/>
              </w:numPr>
              <w:spacing w:after="0" w:line="240" w:lineRule="auto"/>
              <w:ind w:left="323"/>
              <w:jc w:val="both"/>
              <w:rPr>
                <w:rFonts w:ascii="Arial" w:eastAsia="Arial" w:hAnsi="Arial" w:cs="Arial"/>
                <w:color w:val="0070C0"/>
                <w:sz w:val="24"/>
                <w:szCs w:val="24"/>
              </w:rPr>
            </w:pPr>
            <w:r w:rsidRPr="00BE43F3">
              <w:rPr>
                <w:rFonts w:ascii="Arial" w:eastAsia="Arial" w:hAnsi="Arial" w:cs="Arial"/>
                <w:color w:val="0070C0"/>
                <w:sz w:val="24"/>
                <w:szCs w:val="24"/>
              </w:rPr>
              <w:t xml:space="preserve">DSWD-FO II </w:t>
            </w:r>
            <w:r>
              <w:rPr>
                <w:rFonts w:ascii="Arial" w:eastAsia="Arial" w:hAnsi="Arial" w:cs="Arial"/>
                <w:color w:val="0070C0"/>
                <w:sz w:val="24"/>
                <w:szCs w:val="24"/>
              </w:rPr>
              <w:t>is c</w:t>
            </w:r>
            <w:r w:rsidRPr="00BE43F3">
              <w:rPr>
                <w:rFonts w:ascii="Arial" w:eastAsia="Arial" w:hAnsi="Arial" w:cs="Arial"/>
                <w:color w:val="0070C0"/>
                <w:sz w:val="24"/>
                <w:szCs w:val="24"/>
              </w:rPr>
              <w:t>ontinuous</w:t>
            </w:r>
            <w:r>
              <w:rPr>
                <w:rFonts w:ascii="Arial" w:eastAsia="Arial" w:hAnsi="Arial" w:cs="Arial"/>
                <w:color w:val="0070C0"/>
                <w:sz w:val="24"/>
                <w:szCs w:val="24"/>
              </w:rPr>
              <w:t xml:space="preserve">ly coordinating with SWADTs and C/MATs for </w:t>
            </w:r>
            <w:r w:rsidRPr="00BE43F3">
              <w:rPr>
                <w:rFonts w:ascii="Arial" w:eastAsia="Arial" w:hAnsi="Arial" w:cs="Arial"/>
                <w:color w:val="0070C0"/>
                <w:sz w:val="24"/>
                <w:szCs w:val="24"/>
              </w:rPr>
              <w:t>weather advisories</w:t>
            </w:r>
            <w:r>
              <w:rPr>
                <w:rFonts w:ascii="Arial" w:eastAsia="Arial" w:hAnsi="Arial" w:cs="Arial"/>
                <w:color w:val="0070C0"/>
                <w:sz w:val="24"/>
                <w:szCs w:val="24"/>
              </w:rPr>
              <w:t>.</w:t>
            </w:r>
          </w:p>
        </w:tc>
      </w:tr>
    </w:tbl>
    <w:p w:rsidR="00F67130" w:rsidRDefault="00F67130" w:rsidP="00816A95">
      <w:pPr>
        <w:spacing w:after="0" w:line="240" w:lineRule="auto"/>
        <w:contextualSpacing/>
        <w:rPr>
          <w:rFonts w:ascii="Arial" w:eastAsia="Arial" w:hAnsi="Arial" w:cs="Arial"/>
          <w:b/>
          <w:sz w:val="24"/>
          <w:szCs w:val="24"/>
        </w:rPr>
      </w:pPr>
    </w:p>
    <w:p w:rsidR="007412EE" w:rsidRDefault="007412EE" w:rsidP="007412EE">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822"/>
        <w:gridCol w:w="12533"/>
      </w:tblGrid>
      <w:tr w:rsidR="007412EE" w:rsidRPr="00BE43F9" w:rsidTr="00C3575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412EE" w:rsidRPr="00BE43F9" w:rsidRDefault="007412EE"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412EE" w:rsidRPr="00BE43F9" w:rsidRDefault="007412EE"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7412EE" w:rsidRPr="00BE43F9" w:rsidTr="00C35750">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412EE" w:rsidRPr="006A163A" w:rsidRDefault="007412EE" w:rsidP="007412E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14" w:hanging="425"/>
              <w:rPr>
                <w:rFonts w:ascii="Arial" w:eastAsia="Arial" w:hAnsi="Arial" w:cs="Arial"/>
                <w:color w:val="0070C0"/>
                <w:sz w:val="24"/>
                <w:szCs w:val="24"/>
              </w:rPr>
            </w:pPr>
            <w:r w:rsidRPr="006A163A">
              <w:rPr>
                <w:rFonts w:ascii="Arial" w:hAnsi="Arial" w:cs="Arial"/>
                <w:color w:val="0070C0"/>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163A" w:rsidRDefault="006A163A" w:rsidP="00C35750">
            <w:pPr>
              <w:pStyle w:val="ListParagraph"/>
              <w:numPr>
                <w:ilvl w:val="0"/>
                <w:numId w:val="1"/>
              </w:numPr>
              <w:spacing w:after="0" w:line="240" w:lineRule="auto"/>
              <w:ind w:left="323"/>
              <w:jc w:val="both"/>
              <w:rPr>
                <w:rFonts w:ascii="Arial" w:eastAsia="Arial" w:hAnsi="Arial" w:cs="Arial"/>
                <w:color w:val="0070C0"/>
                <w:sz w:val="24"/>
                <w:szCs w:val="24"/>
              </w:rPr>
            </w:pPr>
            <w:r w:rsidRPr="006A163A">
              <w:rPr>
                <w:rFonts w:ascii="Arial" w:eastAsia="Arial" w:hAnsi="Arial" w:cs="Arial"/>
                <w:color w:val="0070C0"/>
                <w:sz w:val="24"/>
                <w:szCs w:val="24"/>
              </w:rPr>
              <w:t xml:space="preserve">DSWD-FO </w:t>
            </w:r>
            <w:r>
              <w:rPr>
                <w:rFonts w:ascii="Arial" w:eastAsia="Arial" w:hAnsi="Arial" w:cs="Arial"/>
                <w:color w:val="0070C0"/>
                <w:sz w:val="24"/>
                <w:szCs w:val="24"/>
              </w:rPr>
              <w:t>CALABARZON</w:t>
            </w:r>
            <w:r>
              <w:rPr>
                <w:rFonts w:ascii="Arial" w:eastAsia="Arial" w:hAnsi="Arial" w:cs="Arial"/>
                <w:color w:val="0070C0"/>
                <w:sz w:val="24"/>
                <w:szCs w:val="24"/>
              </w:rPr>
              <w:t xml:space="preserve"> Emergency Operations Center is already activated to monitor the possible effects of TD Falcon.</w:t>
            </w:r>
          </w:p>
          <w:p w:rsidR="006A163A" w:rsidRDefault="00BE43F3" w:rsidP="00C35750">
            <w:pPr>
              <w:pStyle w:val="ListParagraph"/>
              <w:numPr>
                <w:ilvl w:val="0"/>
                <w:numId w:val="1"/>
              </w:numPr>
              <w:spacing w:after="0" w:line="240" w:lineRule="auto"/>
              <w:ind w:left="323"/>
              <w:jc w:val="both"/>
              <w:rPr>
                <w:rFonts w:ascii="Arial" w:eastAsia="Arial" w:hAnsi="Arial" w:cs="Arial"/>
                <w:color w:val="0070C0"/>
                <w:sz w:val="24"/>
                <w:szCs w:val="24"/>
              </w:rPr>
            </w:pPr>
            <w:r w:rsidRPr="006A163A">
              <w:rPr>
                <w:rFonts w:ascii="Arial" w:eastAsia="Arial" w:hAnsi="Arial" w:cs="Arial"/>
                <w:color w:val="0070C0"/>
                <w:sz w:val="24"/>
                <w:szCs w:val="24"/>
              </w:rPr>
              <w:t xml:space="preserve">DSWD-FO </w:t>
            </w:r>
            <w:r>
              <w:rPr>
                <w:rFonts w:ascii="Arial" w:eastAsia="Arial" w:hAnsi="Arial" w:cs="Arial"/>
                <w:color w:val="0070C0"/>
                <w:sz w:val="24"/>
                <w:szCs w:val="24"/>
              </w:rPr>
              <w:t xml:space="preserve">CALABARZON </w:t>
            </w:r>
            <w:r>
              <w:rPr>
                <w:rFonts w:ascii="Arial" w:eastAsia="Arial" w:hAnsi="Arial" w:cs="Arial"/>
                <w:color w:val="0070C0"/>
                <w:sz w:val="24"/>
                <w:szCs w:val="24"/>
              </w:rPr>
              <w:t>through t</w:t>
            </w:r>
            <w:r>
              <w:rPr>
                <w:rFonts w:ascii="Arial" w:eastAsia="Arial" w:hAnsi="Arial" w:cs="Arial"/>
                <w:color w:val="0070C0"/>
                <w:sz w:val="24"/>
                <w:szCs w:val="24"/>
              </w:rPr>
              <w:t xml:space="preserve">he Disaster Response Management Division (DRMD) </w:t>
            </w:r>
            <w:r w:rsidR="006A163A">
              <w:rPr>
                <w:rFonts w:ascii="Arial" w:eastAsia="Arial" w:hAnsi="Arial" w:cs="Arial"/>
                <w:color w:val="0070C0"/>
                <w:sz w:val="24"/>
                <w:szCs w:val="24"/>
              </w:rPr>
              <w:t>is constantly coordinating with the Local Social Welfare and Development Offices (LSWDOs) with pre-disaster assessments being conducted.</w:t>
            </w:r>
          </w:p>
          <w:p w:rsidR="006A163A" w:rsidRDefault="006A163A" w:rsidP="00C35750">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DRMD is in close coordination with LGUs with regards to the preparedness efforts undertaken in the Flood, Landslide and Storm Surge prone areas.</w:t>
            </w:r>
          </w:p>
          <w:p w:rsidR="007412EE" w:rsidRPr="00BE43F3" w:rsidRDefault="00BE43F3" w:rsidP="00BE43F3">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DRMD</w:t>
            </w:r>
            <w:r>
              <w:rPr>
                <w:rFonts w:ascii="Arial" w:eastAsia="Arial" w:hAnsi="Arial" w:cs="Arial"/>
                <w:color w:val="0070C0"/>
                <w:sz w:val="24"/>
                <w:szCs w:val="24"/>
              </w:rPr>
              <w:t xml:space="preserve"> is continuously coordinating with SWAD Team Leaders and Provincial Action Team of CALABARZON Provinces and advised them to coordinate with LGUs to gather reports on the possible effects of TD Falcon.</w:t>
            </w:r>
          </w:p>
        </w:tc>
      </w:tr>
    </w:tbl>
    <w:p w:rsidR="007412EE" w:rsidRDefault="007412EE"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F67130">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2057C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F67130" w:rsidRDefault="004B7668" w:rsidP="000103C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F67130">
              <w:rPr>
                <w:rFonts w:ascii="Arial" w:hAnsi="Arial" w:cs="Arial"/>
                <w:color w:val="000000" w:themeColor="text1"/>
                <w:sz w:val="24"/>
                <w:szCs w:val="24"/>
              </w:rPr>
              <w:t>J</w:t>
            </w:r>
            <w:r w:rsidR="00150E80" w:rsidRPr="00F67130">
              <w:rPr>
                <w:rFonts w:ascii="Arial" w:hAnsi="Arial" w:cs="Arial"/>
                <w:color w:val="000000" w:themeColor="text1"/>
                <w:sz w:val="24"/>
                <w:szCs w:val="24"/>
              </w:rPr>
              <w:t>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CFB" w:rsidRDefault="004B7668"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sidR="00F67130">
              <w:rPr>
                <w:rFonts w:ascii="Arial" w:eastAsia="Arial" w:hAnsi="Arial" w:cs="Arial"/>
                <w:sz w:val="24"/>
                <w:szCs w:val="24"/>
              </w:rPr>
              <w:t>MIMAROPA</w:t>
            </w:r>
            <w:r w:rsidR="000D3D3E">
              <w:rPr>
                <w:rFonts w:ascii="Arial" w:eastAsia="Arial" w:hAnsi="Arial" w:cs="Arial"/>
                <w:sz w:val="24"/>
                <w:szCs w:val="24"/>
              </w:rPr>
              <w:t xml:space="preserve"> through </w:t>
            </w:r>
            <w:r w:rsidR="008C5268">
              <w:rPr>
                <w:rFonts w:ascii="Arial" w:eastAsia="Arial" w:hAnsi="Arial" w:cs="Arial"/>
                <w:sz w:val="24"/>
                <w:szCs w:val="24"/>
              </w:rPr>
              <w:t xml:space="preserve">the </w:t>
            </w:r>
            <w:r w:rsidR="000D3D3E" w:rsidRPr="000D3D3E">
              <w:rPr>
                <w:rFonts w:ascii="Arial" w:eastAsia="Arial" w:hAnsi="Arial" w:cs="Arial"/>
                <w:sz w:val="24"/>
                <w:szCs w:val="24"/>
              </w:rPr>
              <w:t>Disaster Response Management Division</w:t>
            </w:r>
            <w:r w:rsidR="000D3D3E">
              <w:rPr>
                <w:rFonts w:ascii="Arial" w:eastAsia="Arial" w:hAnsi="Arial" w:cs="Arial"/>
                <w:sz w:val="24"/>
                <w:szCs w:val="24"/>
              </w:rPr>
              <w:t xml:space="preserve"> </w:t>
            </w:r>
            <w:r w:rsidR="008C5268">
              <w:rPr>
                <w:rFonts w:ascii="Arial" w:eastAsia="Arial" w:hAnsi="Arial" w:cs="Arial"/>
                <w:sz w:val="24"/>
                <w:szCs w:val="24"/>
              </w:rPr>
              <w:t>ensures an on-</w:t>
            </w:r>
            <w:r w:rsidR="00F67130" w:rsidRPr="00F67130">
              <w:rPr>
                <w:rFonts w:ascii="Arial" w:eastAsia="Arial" w:hAnsi="Arial" w:cs="Arial"/>
                <w:sz w:val="24"/>
                <w:szCs w:val="24"/>
              </w:rPr>
              <w:t>call and standby</w:t>
            </w:r>
            <w:r w:rsidR="00F67130">
              <w:rPr>
                <w:rFonts w:ascii="Arial" w:eastAsia="Arial" w:hAnsi="Arial" w:cs="Arial"/>
                <w:sz w:val="24"/>
                <w:szCs w:val="24"/>
              </w:rPr>
              <w:t xml:space="preserve"> </w:t>
            </w:r>
            <w:r w:rsidR="00F67130" w:rsidRPr="00F67130">
              <w:rPr>
                <w:rFonts w:ascii="Arial" w:eastAsia="Arial" w:hAnsi="Arial" w:cs="Arial"/>
                <w:sz w:val="24"/>
                <w:szCs w:val="24"/>
              </w:rPr>
              <w:t xml:space="preserve">duty </w:t>
            </w:r>
            <w:r w:rsidR="008C5268">
              <w:rPr>
                <w:rFonts w:ascii="Arial" w:eastAsia="Arial" w:hAnsi="Arial" w:cs="Arial"/>
                <w:sz w:val="24"/>
                <w:szCs w:val="24"/>
              </w:rPr>
              <w:t xml:space="preserve">of the R/P/C/M Quick Response Teams </w:t>
            </w:r>
            <w:r w:rsidR="00814CFB">
              <w:rPr>
                <w:rFonts w:ascii="Arial" w:eastAsia="Arial" w:hAnsi="Arial" w:cs="Arial"/>
                <w:sz w:val="24"/>
                <w:szCs w:val="24"/>
              </w:rPr>
              <w:t>for possible activation of Operations Center.</w:t>
            </w:r>
          </w:p>
          <w:p w:rsidR="00814CFB" w:rsidRPr="00814CFB"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All members of Rapid Emergency Telecommunications Team are on standby status ready for deployment if needed.</w:t>
            </w:r>
          </w:p>
          <w:p w:rsidR="00814CFB"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w:t>
            </w:r>
            <w:r w:rsidR="00814CFB">
              <w:rPr>
                <w:rFonts w:ascii="Arial" w:eastAsia="Arial" w:hAnsi="Arial" w:cs="Arial"/>
                <w:sz w:val="24"/>
                <w:szCs w:val="24"/>
              </w:rPr>
              <w:t xml:space="preserve"> ensures that relief goods are readily available for distribution.</w:t>
            </w:r>
          </w:p>
          <w:p w:rsidR="000D3D3E" w:rsidRPr="00814CFB"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w:t>
            </w:r>
            <w:r w:rsidR="000D3D3E">
              <w:rPr>
                <w:rFonts w:ascii="Arial" w:eastAsia="Arial" w:hAnsi="Arial" w:cs="Arial"/>
                <w:sz w:val="24"/>
                <w:szCs w:val="24"/>
              </w:rPr>
              <w:t xml:space="preserve"> is </w:t>
            </w:r>
            <w:r>
              <w:rPr>
                <w:rFonts w:ascii="Arial" w:eastAsia="Arial" w:hAnsi="Arial" w:cs="Arial"/>
                <w:sz w:val="24"/>
                <w:szCs w:val="24"/>
              </w:rPr>
              <w:t xml:space="preserve">in </w:t>
            </w:r>
            <w:r w:rsidR="000D3D3E">
              <w:rPr>
                <w:rFonts w:ascii="Arial" w:eastAsia="Arial" w:hAnsi="Arial" w:cs="Arial"/>
                <w:sz w:val="24"/>
                <w:szCs w:val="24"/>
              </w:rPr>
              <w:t>c</w:t>
            </w:r>
            <w:r w:rsidR="000D3D3E" w:rsidRPr="000D3D3E">
              <w:rPr>
                <w:rFonts w:ascii="Arial" w:eastAsia="Arial" w:hAnsi="Arial" w:cs="Arial"/>
                <w:sz w:val="24"/>
                <w:szCs w:val="24"/>
              </w:rPr>
              <w:t>lose coordination with the Office of Civil Defense (OCD) and RDRRMC</w:t>
            </w:r>
            <w:r w:rsidR="000D3D3E">
              <w:rPr>
                <w:rFonts w:ascii="Arial" w:eastAsia="Arial" w:hAnsi="Arial" w:cs="Arial"/>
                <w:sz w:val="24"/>
                <w:szCs w:val="24"/>
              </w:rPr>
              <w:t xml:space="preserve"> </w:t>
            </w:r>
            <w:r w:rsidR="000D3D3E" w:rsidRPr="000D3D3E">
              <w:rPr>
                <w:rFonts w:ascii="Arial" w:eastAsia="Arial" w:hAnsi="Arial" w:cs="Arial"/>
                <w:sz w:val="24"/>
                <w:szCs w:val="24"/>
              </w:rPr>
              <w:t>MIMAROPA for</w:t>
            </w:r>
            <w:r>
              <w:rPr>
                <w:rFonts w:ascii="Arial" w:eastAsia="Arial" w:hAnsi="Arial" w:cs="Arial"/>
                <w:sz w:val="24"/>
                <w:szCs w:val="24"/>
              </w:rPr>
              <w:t xml:space="preserve"> any warning signal updates in </w:t>
            </w:r>
            <w:r w:rsidR="000D3D3E" w:rsidRPr="000D3D3E">
              <w:rPr>
                <w:rFonts w:ascii="Arial" w:eastAsia="Arial" w:hAnsi="Arial" w:cs="Arial"/>
                <w:sz w:val="24"/>
                <w:szCs w:val="24"/>
              </w:rPr>
              <w:t xml:space="preserve">response </w:t>
            </w:r>
            <w:r>
              <w:rPr>
                <w:rFonts w:ascii="Arial" w:eastAsia="Arial" w:hAnsi="Arial" w:cs="Arial"/>
                <w:sz w:val="24"/>
                <w:szCs w:val="24"/>
              </w:rPr>
              <w:t xml:space="preserve">to the </w:t>
            </w:r>
            <w:r w:rsidR="000D3D3E" w:rsidRPr="000D3D3E">
              <w:rPr>
                <w:rFonts w:ascii="Arial" w:eastAsia="Arial" w:hAnsi="Arial" w:cs="Arial"/>
                <w:sz w:val="24"/>
                <w:szCs w:val="24"/>
              </w:rPr>
              <w:t>areas that will be affected.</w:t>
            </w:r>
          </w:p>
        </w:tc>
      </w:tr>
    </w:tbl>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V is </w:t>
            </w:r>
            <w:r w:rsidRPr="000D3D3E">
              <w:rPr>
                <w:rFonts w:ascii="Arial" w:eastAsia="Arial" w:hAnsi="Arial" w:cs="Arial"/>
                <w:sz w:val="24"/>
                <w:szCs w:val="24"/>
              </w:rPr>
              <w:t>continuous</w:t>
            </w:r>
            <w:r>
              <w:rPr>
                <w:rFonts w:ascii="Arial" w:eastAsia="Arial" w:hAnsi="Arial" w:cs="Arial"/>
                <w:sz w:val="24"/>
                <w:szCs w:val="24"/>
              </w:rPr>
              <w:t>ly</w:t>
            </w:r>
            <w:r w:rsidRPr="000D3D3E">
              <w:rPr>
                <w:rFonts w:ascii="Arial" w:eastAsia="Arial" w:hAnsi="Arial" w:cs="Arial"/>
                <w:sz w:val="24"/>
                <w:szCs w:val="24"/>
              </w:rPr>
              <w:t xml:space="preserve"> monitor</w:t>
            </w:r>
            <w:r>
              <w:rPr>
                <w:rFonts w:ascii="Arial" w:eastAsia="Arial" w:hAnsi="Arial" w:cs="Arial"/>
                <w:sz w:val="24"/>
                <w:szCs w:val="24"/>
              </w:rPr>
              <w:t>ing</w:t>
            </w:r>
            <w:r w:rsidRPr="000D3D3E">
              <w:rPr>
                <w:rFonts w:ascii="Arial" w:eastAsia="Arial" w:hAnsi="Arial" w:cs="Arial"/>
                <w:sz w:val="24"/>
                <w:szCs w:val="24"/>
              </w:rPr>
              <w:t xml:space="preserve"> weather updates and information.</w:t>
            </w:r>
          </w:p>
          <w:p w:rsidR="000D3D3E"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0D3D3E">
              <w:rPr>
                <w:rFonts w:ascii="Arial" w:eastAsia="Arial" w:hAnsi="Arial" w:cs="Arial"/>
                <w:sz w:val="24"/>
                <w:szCs w:val="24"/>
              </w:rPr>
              <w:t xml:space="preserve">FO V QRTs </w:t>
            </w:r>
            <w:r w:rsidR="00814CFB">
              <w:rPr>
                <w:rFonts w:ascii="Arial" w:eastAsia="Arial" w:hAnsi="Arial" w:cs="Arial"/>
                <w:sz w:val="24"/>
                <w:szCs w:val="24"/>
              </w:rPr>
              <w:t xml:space="preserve">are on standby for 24/7 duty at the DRMD Operations Center. QRTs are </w:t>
            </w:r>
            <w:r w:rsidRPr="000D3D3E">
              <w:rPr>
                <w:rFonts w:ascii="Arial" w:eastAsia="Arial" w:hAnsi="Arial" w:cs="Arial"/>
                <w:sz w:val="24"/>
                <w:szCs w:val="24"/>
              </w:rPr>
              <w:t>alerted and advised to be prepared for augmentation support needed</w:t>
            </w:r>
            <w:r>
              <w:rPr>
                <w:rFonts w:ascii="Arial" w:eastAsia="Arial" w:hAnsi="Arial" w:cs="Arial"/>
                <w:sz w:val="24"/>
                <w:szCs w:val="24"/>
              </w:rPr>
              <w:t xml:space="preserve"> </w:t>
            </w:r>
            <w:r w:rsidR="00814CFB">
              <w:rPr>
                <w:rFonts w:ascii="Arial" w:eastAsia="Arial" w:hAnsi="Arial" w:cs="Arial"/>
                <w:sz w:val="24"/>
                <w:szCs w:val="24"/>
              </w:rPr>
              <w:t xml:space="preserve">from the field. </w:t>
            </w:r>
          </w:p>
          <w:p w:rsidR="000D3D3E" w:rsidRPr="000D3D3E" w:rsidRDefault="00814CFB"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w:t>
            </w:r>
            <w:r w:rsidR="000D3D3E" w:rsidRPr="000D3D3E">
              <w:rPr>
                <w:rFonts w:ascii="Arial" w:eastAsia="Arial" w:hAnsi="Arial" w:cs="Arial"/>
                <w:sz w:val="24"/>
                <w:szCs w:val="24"/>
              </w:rPr>
              <w:t>PAT and MAT members in the 6 provinces are on standby and to coordinate with</w:t>
            </w:r>
            <w:r w:rsidR="000D3D3E">
              <w:rPr>
                <w:rFonts w:ascii="Arial" w:eastAsia="Arial" w:hAnsi="Arial" w:cs="Arial"/>
                <w:sz w:val="24"/>
                <w:szCs w:val="24"/>
              </w:rPr>
              <w:t xml:space="preserve"> </w:t>
            </w:r>
            <w:r w:rsidR="000D3D3E" w:rsidRPr="000D3D3E">
              <w:rPr>
                <w:rFonts w:ascii="Arial" w:eastAsia="Arial" w:hAnsi="Arial" w:cs="Arial"/>
                <w:sz w:val="24"/>
                <w:szCs w:val="24"/>
              </w:rPr>
              <w:t>the P/MDRRMOs for status reports and updates.</w:t>
            </w:r>
          </w:p>
        </w:tc>
      </w:tr>
    </w:tbl>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D3D3E" w:rsidRDefault="000D3D3E" w:rsidP="000103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5EE2" w:rsidRDefault="000D3D3E"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w:t>
            </w:r>
            <w:r w:rsidR="009A5EE2">
              <w:rPr>
                <w:rFonts w:ascii="Arial" w:eastAsia="Arial" w:hAnsi="Arial" w:cs="Arial"/>
                <w:sz w:val="24"/>
                <w:szCs w:val="24"/>
              </w:rPr>
              <w:t>has a total of 19,181 readily available family food packs.</w:t>
            </w:r>
          </w:p>
          <w:p w:rsidR="009A5EE2" w:rsidRDefault="009A5EE2"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activated the </w:t>
            </w:r>
            <w:r w:rsidRPr="00D164A6">
              <w:rPr>
                <w:rFonts w:ascii="Arial" w:eastAsia="Arial" w:hAnsi="Arial" w:cs="Arial"/>
                <w:sz w:val="24"/>
                <w:szCs w:val="24"/>
              </w:rPr>
              <w:t>Field Office’s and RPMO’s (SWADTs, PATs, MATs, CATs) Quick</w:t>
            </w:r>
            <w:r>
              <w:rPr>
                <w:rFonts w:ascii="Arial" w:eastAsia="Arial" w:hAnsi="Arial" w:cs="Arial"/>
                <w:sz w:val="24"/>
                <w:szCs w:val="24"/>
              </w:rPr>
              <w:t xml:space="preserve"> Response Team as</w:t>
            </w:r>
            <w:r w:rsidRPr="00D164A6">
              <w:rPr>
                <w:rFonts w:ascii="Arial" w:eastAsia="Arial" w:hAnsi="Arial" w:cs="Arial"/>
                <w:sz w:val="24"/>
                <w:szCs w:val="24"/>
              </w:rPr>
              <w:t xml:space="preserve"> “On-Call Duty”</w:t>
            </w:r>
          </w:p>
          <w:p w:rsidR="000D3D3E" w:rsidRPr="00D164A6" w:rsidRDefault="009A5EE2"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w:t>
            </w:r>
            <w:r w:rsidR="00D164A6">
              <w:rPr>
                <w:rFonts w:ascii="Arial" w:eastAsia="Arial" w:hAnsi="Arial" w:cs="Arial"/>
                <w:sz w:val="24"/>
                <w:szCs w:val="24"/>
              </w:rPr>
              <w:t>is closely coordinating</w:t>
            </w:r>
            <w:r w:rsidR="000D3D3E">
              <w:rPr>
                <w:rFonts w:ascii="Arial" w:eastAsia="Arial" w:hAnsi="Arial" w:cs="Arial"/>
                <w:sz w:val="24"/>
                <w:szCs w:val="24"/>
              </w:rPr>
              <w:t xml:space="preserve"> </w:t>
            </w:r>
            <w:r>
              <w:rPr>
                <w:rFonts w:ascii="Arial" w:eastAsia="Arial" w:hAnsi="Arial" w:cs="Arial"/>
                <w:sz w:val="24"/>
                <w:szCs w:val="24"/>
              </w:rPr>
              <w:t xml:space="preserve">with all SWADOs and </w:t>
            </w:r>
            <w:r w:rsidR="000D3D3E" w:rsidRPr="000D3D3E">
              <w:rPr>
                <w:rFonts w:ascii="Arial" w:eastAsia="Arial" w:hAnsi="Arial" w:cs="Arial"/>
                <w:sz w:val="24"/>
                <w:szCs w:val="24"/>
              </w:rPr>
              <w:t>PSWDOs/CSWDO/MSWDOs for</w:t>
            </w:r>
            <w:r w:rsidR="00D164A6">
              <w:rPr>
                <w:rFonts w:ascii="Arial" w:eastAsia="Arial" w:hAnsi="Arial" w:cs="Arial"/>
                <w:sz w:val="24"/>
                <w:szCs w:val="24"/>
              </w:rPr>
              <w:t xml:space="preserve"> </w:t>
            </w:r>
            <w:r>
              <w:rPr>
                <w:rFonts w:ascii="Arial" w:eastAsia="Arial" w:hAnsi="Arial" w:cs="Arial"/>
                <w:sz w:val="24"/>
                <w:szCs w:val="24"/>
              </w:rPr>
              <w:t>monitoring of the situation</w:t>
            </w:r>
            <w:r w:rsidR="000D3D3E" w:rsidRPr="00D164A6">
              <w:rPr>
                <w:rFonts w:ascii="Arial" w:eastAsia="Arial" w:hAnsi="Arial" w:cs="Arial"/>
                <w:sz w:val="24"/>
                <w:szCs w:val="24"/>
              </w:rPr>
              <w:t xml:space="preserve"> in the different parts of Davao Region</w:t>
            </w:r>
            <w:r>
              <w:rPr>
                <w:rFonts w:ascii="Arial" w:eastAsia="Arial" w:hAnsi="Arial" w:cs="Arial"/>
                <w:sz w:val="24"/>
                <w:szCs w:val="24"/>
              </w:rPr>
              <w:t>.</w:t>
            </w:r>
          </w:p>
          <w:p w:rsidR="00D164A6" w:rsidRPr="009A5EE2" w:rsidRDefault="00D164A6" w:rsidP="000103C6">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is closely coordinating </w:t>
            </w:r>
            <w:r w:rsidRPr="00D164A6">
              <w:rPr>
                <w:rFonts w:ascii="Arial" w:eastAsia="Arial" w:hAnsi="Arial" w:cs="Arial"/>
                <w:sz w:val="24"/>
                <w:szCs w:val="24"/>
              </w:rPr>
              <w:t>with Office of Civil Defense (OCD) XI for monitoring purposes and</w:t>
            </w:r>
            <w:r>
              <w:rPr>
                <w:rFonts w:ascii="Arial" w:eastAsia="Arial" w:hAnsi="Arial" w:cs="Arial"/>
                <w:sz w:val="24"/>
                <w:szCs w:val="24"/>
              </w:rPr>
              <w:t xml:space="preserve"> </w:t>
            </w:r>
            <w:r w:rsidRPr="00D164A6">
              <w:rPr>
                <w:rFonts w:ascii="Arial" w:eastAsia="Arial" w:hAnsi="Arial" w:cs="Arial"/>
                <w:sz w:val="24"/>
                <w:szCs w:val="24"/>
              </w:rPr>
              <w:t>response mechanisms</w:t>
            </w:r>
            <w:r w:rsidR="009A5EE2">
              <w:rPr>
                <w:rFonts w:ascii="Arial" w:eastAsia="Arial" w:hAnsi="Arial" w:cs="Arial"/>
                <w:sz w:val="24"/>
                <w:szCs w:val="24"/>
              </w:rPr>
              <w:t>.</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TD </w:t>
      </w:r>
      <w:r w:rsidR="009A5EE2">
        <w:rPr>
          <w:rFonts w:ascii="Arial" w:eastAsia="Arial" w:hAnsi="Arial" w:cs="Arial"/>
          <w:i/>
          <w:sz w:val="20"/>
          <w:szCs w:val="20"/>
        </w:rPr>
        <w:t xml:space="preserve">Falcon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BE43F3"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1"/>
      <w:footerReference w:type="default" r:id="rId12"/>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10" w:rsidRDefault="00765610">
      <w:pPr>
        <w:spacing w:after="0" w:line="240" w:lineRule="auto"/>
      </w:pPr>
      <w:r>
        <w:separator/>
      </w:r>
    </w:p>
  </w:endnote>
  <w:endnote w:type="continuationSeparator" w:id="0">
    <w:p w:rsidR="00765610" w:rsidRDefault="0076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D22211">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51556">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51556">
      <w:rPr>
        <w:b/>
        <w:noProof/>
        <w:sz w:val="16"/>
        <w:szCs w:val="16"/>
      </w:rPr>
      <w:t>7</w:t>
    </w:r>
    <w:r>
      <w:rPr>
        <w:b/>
        <w:sz w:val="16"/>
        <w:szCs w:val="16"/>
      </w:rPr>
      <w:fldChar w:fldCharType="end"/>
    </w:r>
    <w:r>
      <w:rPr>
        <w:sz w:val="16"/>
        <w:szCs w:val="16"/>
      </w:rPr>
      <w:t xml:space="preserve">| </w:t>
    </w:r>
    <w:r w:rsidR="00D22211" w:rsidRPr="00D22211">
      <w:rPr>
        <w:rFonts w:ascii="Arial" w:eastAsia="Arial" w:hAnsi="Arial" w:cs="Arial"/>
        <w:sz w:val="16"/>
        <w:szCs w:val="16"/>
      </w:rPr>
      <w:t>DSWD DROMIC Prepared</w:t>
    </w:r>
    <w:r w:rsidR="007412EE">
      <w:rPr>
        <w:rFonts w:ascii="Arial" w:eastAsia="Arial" w:hAnsi="Arial" w:cs="Arial"/>
        <w:sz w:val="16"/>
        <w:szCs w:val="16"/>
      </w:rPr>
      <w:t>ness for Response Report #2</w:t>
    </w:r>
    <w:r w:rsidR="00D22211">
      <w:rPr>
        <w:rFonts w:ascii="Arial" w:eastAsia="Arial" w:hAnsi="Arial" w:cs="Arial"/>
        <w:sz w:val="16"/>
        <w:szCs w:val="16"/>
      </w:rPr>
      <w:t xml:space="preserve"> on Tropical Depression “FALCON” </w:t>
    </w:r>
    <w:r w:rsidR="007412EE">
      <w:rPr>
        <w:rFonts w:ascii="Arial" w:eastAsia="Arial" w:hAnsi="Arial" w:cs="Arial"/>
        <w:sz w:val="16"/>
        <w:szCs w:val="16"/>
      </w:rPr>
      <w:t>as of 16 July 2019, 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10" w:rsidRDefault="00765610">
      <w:pPr>
        <w:spacing w:after="0" w:line="240" w:lineRule="auto"/>
      </w:pPr>
      <w:r>
        <w:separator/>
      </w:r>
    </w:p>
  </w:footnote>
  <w:footnote w:type="continuationSeparator" w:id="0">
    <w:p w:rsidR="00765610" w:rsidRDefault="00765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D5215FC"/>
    <w:multiLevelType w:val="hybridMultilevel"/>
    <w:tmpl w:val="35B02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9"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10"/>
  </w:num>
  <w:num w:numId="6">
    <w:abstractNumId w:val="1"/>
  </w:num>
  <w:num w:numId="7">
    <w:abstractNumId w:val="4"/>
  </w:num>
  <w:num w:numId="8">
    <w:abstractNumId w:val="6"/>
  </w:num>
  <w:num w:numId="9">
    <w:abstractNumId w:val="2"/>
  </w:num>
  <w:num w:numId="10">
    <w:abstractNumId w:val="11"/>
  </w:num>
  <w:num w:numId="11">
    <w:abstractNumId w:val="5"/>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20ECE"/>
    <w:rsid w:val="000234D2"/>
    <w:rsid w:val="00026080"/>
    <w:rsid w:val="000359C0"/>
    <w:rsid w:val="000362A4"/>
    <w:rsid w:val="000408C0"/>
    <w:rsid w:val="00044A86"/>
    <w:rsid w:val="00054288"/>
    <w:rsid w:val="000757CD"/>
    <w:rsid w:val="000762A0"/>
    <w:rsid w:val="0008009D"/>
    <w:rsid w:val="000812AC"/>
    <w:rsid w:val="00085176"/>
    <w:rsid w:val="000962B5"/>
    <w:rsid w:val="00096FF5"/>
    <w:rsid w:val="00097C1F"/>
    <w:rsid w:val="000A1C46"/>
    <w:rsid w:val="000A1FE9"/>
    <w:rsid w:val="000C196B"/>
    <w:rsid w:val="000C6698"/>
    <w:rsid w:val="000D1A9D"/>
    <w:rsid w:val="000D3D3E"/>
    <w:rsid w:val="000E09D8"/>
    <w:rsid w:val="000E381D"/>
    <w:rsid w:val="000F10AC"/>
    <w:rsid w:val="000F1F6C"/>
    <w:rsid w:val="000F3578"/>
    <w:rsid w:val="000F4C6D"/>
    <w:rsid w:val="000F5D46"/>
    <w:rsid w:val="00103A30"/>
    <w:rsid w:val="00110F51"/>
    <w:rsid w:val="00114D5E"/>
    <w:rsid w:val="00117E58"/>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707B"/>
    <w:rsid w:val="001C1FD4"/>
    <w:rsid w:val="001D01A8"/>
    <w:rsid w:val="001E08FA"/>
    <w:rsid w:val="001E09E8"/>
    <w:rsid w:val="001E1043"/>
    <w:rsid w:val="001E26B4"/>
    <w:rsid w:val="001F0789"/>
    <w:rsid w:val="0020030B"/>
    <w:rsid w:val="00203164"/>
    <w:rsid w:val="002057CB"/>
    <w:rsid w:val="002063ED"/>
    <w:rsid w:val="002147BF"/>
    <w:rsid w:val="002233C1"/>
    <w:rsid w:val="00223D7C"/>
    <w:rsid w:val="00224A0B"/>
    <w:rsid w:val="002338D6"/>
    <w:rsid w:val="00235815"/>
    <w:rsid w:val="0024676B"/>
    <w:rsid w:val="00251556"/>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731A"/>
    <w:rsid w:val="002B2EC9"/>
    <w:rsid w:val="002C1E7D"/>
    <w:rsid w:val="002C224F"/>
    <w:rsid w:val="002D3418"/>
    <w:rsid w:val="002E25AE"/>
    <w:rsid w:val="002F0FA9"/>
    <w:rsid w:val="002F5178"/>
    <w:rsid w:val="002F713F"/>
    <w:rsid w:val="003052AD"/>
    <w:rsid w:val="00305764"/>
    <w:rsid w:val="003152F8"/>
    <w:rsid w:val="00317493"/>
    <w:rsid w:val="00321421"/>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0BF5"/>
    <w:rsid w:val="003C707B"/>
    <w:rsid w:val="003C7DE1"/>
    <w:rsid w:val="003D09A9"/>
    <w:rsid w:val="003D357A"/>
    <w:rsid w:val="003D4AAB"/>
    <w:rsid w:val="003D4DF7"/>
    <w:rsid w:val="003D7552"/>
    <w:rsid w:val="003D7A31"/>
    <w:rsid w:val="003E27EE"/>
    <w:rsid w:val="003F0D46"/>
    <w:rsid w:val="003F79ED"/>
    <w:rsid w:val="00402969"/>
    <w:rsid w:val="004033F8"/>
    <w:rsid w:val="00411916"/>
    <w:rsid w:val="004134A7"/>
    <w:rsid w:val="00425689"/>
    <w:rsid w:val="0042628C"/>
    <w:rsid w:val="0043209E"/>
    <w:rsid w:val="004334A9"/>
    <w:rsid w:val="0044371B"/>
    <w:rsid w:val="00446AAF"/>
    <w:rsid w:val="00447043"/>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B0036"/>
    <w:rsid w:val="004B6089"/>
    <w:rsid w:val="004B6A6E"/>
    <w:rsid w:val="004B6B6D"/>
    <w:rsid w:val="004B7668"/>
    <w:rsid w:val="004C3182"/>
    <w:rsid w:val="004C5385"/>
    <w:rsid w:val="004C55DA"/>
    <w:rsid w:val="004D1392"/>
    <w:rsid w:val="004E2DCF"/>
    <w:rsid w:val="004F27B7"/>
    <w:rsid w:val="004F68F5"/>
    <w:rsid w:val="005073A3"/>
    <w:rsid w:val="005101BD"/>
    <w:rsid w:val="0051518E"/>
    <w:rsid w:val="005156DC"/>
    <w:rsid w:val="00515F7A"/>
    <w:rsid w:val="00524A25"/>
    <w:rsid w:val="00543A35"/>
    <w:rsid w:val="00543D61"/>
    <w:rsid w:val="00544DE0"/>
    <w:rsid w:val="00546DEE"/>
    <w:rsid w:val="00557D52"/>
    <w:rsid w:val="0056425D"/>
    <w:rsid w:val="00580432"/>
    <w:rsid w:val="00583D8D"/>
    <w:rsid w:val="0059459E"/>
    <w:rsid w:val="00594DB7"/>
    <w:rsid w:val="005A4EFD"/>
    <w:rsid w:val="005C25C9"/>
    <w:rsid w:val="005C26A2"/>
    <w:rsid w:val="005C7862"/>
    <w:rsid w:val="005C79B3"/>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808AA"/>
    <w:rsid w:val="00695D36"/>
    <w:rsid w:val="0069611E"/>
    <w:rsid w:val="00696FAF"/>
    <w:rsid w:val="006A0D27"/>
    <w:rsid w:val="006A163A"/>
    <w:rsid w:val="006A5D7C"/>
    <w:rsid w:val="006A73E5"/>
    <w:rsid w:val="006B6490"/>
    <w:rsid w:val="006C2CB0"/>
    <w:rsid w:val="006C3732"/>
    <w:rsid w:val="006C3A59"/>
    <w:rsid w:val="006D67C6"/>
    <w:rsid w:val="006E08CA"/>
    <w:rsid w:val="006E23E1"/>
    <w:rsid w:val="006E6AC7"/>
    <w:rsid w:val="00701F97"/>
    <w:rsid w:val="007029A9"/>
    <w:rsid w:val="00703E20"/>
    <w:rsid w:val="007150A8"/>
    <w:rsid w:val="00724F05"/>
    <w:rsid w:val="00725D9A"/>
    <w:rsid w:val="0072780E"/>
    <w:rsid w:val="007412EE"/>
    <w:rsid w:val="00742851"/>
    <w:rsid w:val="0074516B"/>
    <w:rsid w:val="00752F0C"/>
    <w:rsid w:val="007567CA"/>
    <w:rsid w:val="007650E4"/>
    <w:rsid w:val="00765610"/>
    <w:rsid w:val="0077257F"/>
    <w:rsid w:val="00773A7E"/>
    <w:rsid w:val="00774B9D"/>
    <w:rsid w:val="00775377"/>
    <w:rsid w:val="0077758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26A4"/>
    <w:rsid w:val="00863692"/>
    <w:rsid w:val="00870757"/>
    <w:rsid w:val="008748D8"/>
    <w:rsid w:val="00876F3E"/>
    <w:rsid w:val="008774FE"/>
    <w:rsid w:val="0087788A"/>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54D0D"/>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E27AF"/>
    <w:rsid w:val="009F0D31"/>
    <w:rsid w:val="009F1782"/>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66CB"/>
    <w:rsid w:val="00B87555"/>
    <w:rsid w:val="00B932C1"/>
    <w:rsid w:val="00B9372F"/>
    <w:rsid w:val="00B951A0"/>
    <w:rsid w:val="00BA01A8"/>
    <w:rsid w:val="00BA2169"/>
    <w:rsid w:val="00BB04B7"/>
    <w:rsid w:val="00BB1138"/>
    <w:rsid w:val="00BB574D"/>
    <w:rsid w:val="00BB7017"/>
    <w:rsid w:val="00BB7E09"/>
    <w:rsid w:val="00BC2501"/>
    <w:rsid w:val="00BC27C9"/>
    <w:rsid w:val="00BC533B"/>
    <w:rsid w:val="00BC551C"/>
    <w:rsid w:val="00BD10D0"/>
    <w:rsid w:val="00BD5A8C"/>
    <w:rsid w:val="00BE1AB9"/>
    <w:rsid w:val="00BE43F3"/>
    <w:rsid w:val="00BE43F9"/>
    <w:rsid w:val="00BE5C3A"/>
    <w:rsid w:val="00BF2BA8"/>
    <w:rsid w:val="00BF6524"/>
    <w:rsid w:val="00C00C48"/>
    <w:rsid w:val="00C050DB"/>
    <w:rsid w:val="00C15DBE"/>
    <w:rsid w:val="00C33267"/>
    <w:rsid w:val="00C36108"/>
    <w:rsid w:val="00C43BDA"/>
    <w:rsid w:val="00C455D0"/>
    <w:rsid w:val="00C47CBF"/>
    <w:rsid w:val="00C53D82"/>
    <w:rsid w:val="00C60386"/>
    <w:rsid w:val="00C62B62"/>
    <w:rsid w:val="00C63453"/>
    <w:rsid w:val="00C6532B"/>
    <w:rsid w:val="00C67BB2"/>
    <w:rsid w:val="00C768F0"/>
    <w:rsid w:val="00C808CE"/>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64A6"/>
    <w:rsid w:val="00D22211"/>
    <w:rsid w:val="00D278C1"/>
    <w:rsid w:val="00D307D8"/>
    <w:rsid w:val="00D325D1"/>
    <w:rsid w:val="00D368FB"/>
    <w:rsid w:val="00D43941"/>
    <w:rsid w:val="00D46740"/>
    <w:rsid w:val="00D56765"/>
    <w:rsid w:val="00D63FBA"/>
    <w:rsid w:val="00D700D1"/>
    <w:rsid w:val="00D70BDB"/>
    <w:rsid w:val="00D75ED7"/>
    <w:rsid w:val="00D8053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E03166"/>
    <w:rsid w:val="00E060F9"/>
    <w:rsid w:val="00E238AB"/>
    <w:rsid w:val="00E25AF1"/>
    <w:rsid w:val="00E31118"/>
    <w:rsid w:val="00E32DE0"/>
    <w:rsid w:val="00E44A97"/>
    <w:rsid w:val="00E477DA"/>
    <w:rsid w:val="00E47B18"/>
    <w:rsid w:val="00E50999"/>
    <w:rsid w:val="00E5517C"/>
    <w:rsid w:val="00E56A7A"/>
    <w:rsid w:val="00E67372"/>
    <w:rsid w:val="00E67F2F"/>
    <w:rsid w:val="00E72E81"/>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EF4CDB"/>
    <w:rsid w:val="00F0291A"/>
    <w:rsid w:val="00F0378F"/>
    <w:rsid w:val="00F10727"/>
    <w:rsid w:val="00F119B5"/>
    <w:rsid w:val="00F1590E"/>
    <w:rsid w:val="00F20E47"/>
    <w:rsid w:val="00F22E7D"/>
    <w:rsid w:val="00F22F9C"/>
    <w:rsid w:val="00F26583"/>
    <w:rsid w:val="00F31F0A"/>
    <w:rsid w:val="00F34CE0"/>
    <w:rsid w:val="00F34EA4"/>
    <w:rsid w:val="00F35454"/>
    <w:rsid w:val="00F379F8"/>
    <w:rsid w:val="00F4079B"/>
    <w:rsid w:val="00F42732"/>
    <w:rsid w:val="00F444E9"/>
    <w:rsid w:val="00F55241"/>
    <w:rsid w:val="00F561FC"/>
    <w:rsid w:val="00F611D2"/>
    <w:rsid w:val="00F613F1"/>
    <w:rsid w:val="00F67130"/>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480F"/>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8787-6D36-4AF1-80F7-805FAE2C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7</cp:revision>
  <dcterms:created xsi:type="dcterms:W3CDTF">2019-07-16T09:41:00Z</dcterms:created>
  <dcterms:modified xsi:type="dcterms:W3CDTF">2019-07-16T10:15:00Z</dcterms:modified>
</cp:coreProperties>
</file>