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FC7329">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00FC7329">
        <w:rPr>
          <w:rFonts w:ascii="Arial" w:eastAsia="Arial" w:hAnsi="Arial" w:cs="Arial"/>
          <w:b/>
          <w:sz w:val="32"/>
          <w:szCs w:val="24"/>
        </w:rPr>
        <w:t>Storm</w:t>
      </w:r>
      <w:r w:rsidR="00114D5E" w:rsidRPr="00BE43F9">
        <w:rPr>
          <w:rFonts w:ascii="Arial" w:eastAsia="Arial" w:hAnsi="Arial" w:cs="Arial"/>
          <w:b/>
          <w:sz w:val="32"/>
          <w:szCs w:val="24"/>
        </w:rPr>
        <w:t xml:space="preserve"> “</w:t>
      </w:r>
      <w:r w:rsidR="00971537">
        <w:rPr>
          <w:rFonts w:ascii="Arial" w:eastAsia="Arial" w:hAnsi="Arial" w:cs="Arial"/>
          <w:b/>
          <w:sz w:val="32"/>
          <w:szCs w:val="24"/>
        </w:rPr>
        <w:t>FALCON</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971537">
        <w:rPr>
          <w:rFonts w:ascii="Arial" w:eastAsia="Arial" w:hAnsi="Arial" w:cs="Arial"/>
          <w:sz w:val="24"/>
          <w:szCs w:val="24"/>
        </w:rPr>
        <w:t>1</w:t>
      </w:r>
      <w:r w:rsidR="00FC7329">
        <w:rPr>
          <w:rFonts w:ascii="Arial" w:eastAsia="Arial" w:hAnsi="Arial" w:cs="Arial"/>
          <w:sz w:val="24"/>
          <w:szCs w:val="24"/>
        </w:rPr>
        <w:t>7</w:t>
      </w:r>
      <w:r w:rsidR="00515F7A">
        <w:rPr>
          <w:rFonts w:ascii="Arial" w:eastAsia="Arial" w:hAnsi="Arial" w:cs="Arial"/>
          <w:sz w:val="24"/>
          <w:szCs w:val="24"/>
        </w:rPr>
        <w:t xml:space="preserve"> July</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412EE">
        <w:rPr>
          <w:rFonts w:ascii="Arial" w:eastAsia="Arial" w:hAnsi="Arial" w:cs="Arial"/>
          <w:sz w:val="24"/>
          <w:szCs w:val="24"/>
        </w:rPr>
        <w:t>6</w:t>
      </w:r>
      <w:r w:rsidR="00FC7329">
        <w:rPr>
          <w:rFonts w:ascii="Arial" w:eastAsia="Arial" w:hAnsi="Arial" w:cs="Arial"/>
          <w:sz w:val="24"/>
          <w:szCs w:val="24"/>
        </w:rPr>
        <w:t>AM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5169535</wp:posOffset>
            </wp:positionH>
            <wp:positionV relativeFrom="paragraph">
              <wp:posOffset>197485</wp:posOffset>
            </wp:positionV>
            <wp:extent cx="4563745" cy="352679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745" cy="352679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E03166" w:rsidRPr="00E03166" w:rsidRDefault="00FC7329" w:rsidP="00E03166">
      <w:pPr>
        <w:rPr>
          <w:rFonts w:ascii="Arial" w:eastAsia="Times New Roman" w:hAnsi="Arial" w:cs="Arial"/>
          <w:color w:val="auto"/>
          <w:sz w:val="24"/>
          <w:szCs w:val="24"/>
        </w:rPr>
      </w:pPr>
      <w:r w:rsidRPr="00FC7329">
        <w:rPr>
          <w:rFonts w:ascii="Arial" w:hAnsi="Arial" w:cs="Arial"/>
          <w:b/>
          <w:color w:val="auto"/>
          <w:sz w:val="24"/>
          <w:szCs w:val="24"/>
        </w:rPr>
        <w:t>"FALCON" IS NOW OFF THE COAST OF APARRI, CAGAYAN AND HEADED TOWARDS BABUYAN GROUP OF ISLANDS</w:t>
      </w:r>
      <w:r w:rsidR="00E03166" w:rsidRPr="00E03166">
        <w:rPr>
          <w:rFonts w:ascii="Arial" w:hAnsi="Arial" w:cs="Arial"/>
          <w:b/>
          <w:color w:val="auto"/>
          <w:sz w:val="24"/>
          <w:szCs w:val="24"/>
        </w:rPr>
        <w:t>.</w:t>
      </w:r>
    </w:p>
    <w:p w:rsidR="00FC7329" w:rsidRDefault="00FC7329" w:rsidP="00FC7329">
      <w:pPr>
        <w:pStyle w:val="ListParagraph"/>
        <w:numPr>
          <w:ilvl w:val="0"/>
          <w:numId w:val="3"/>
        </w:numPr>
        <w:rPr>
          <w:rFonts w:ascii="Arial" w:eastAsia="Times New Roman" w:hAnsi="Arial" w:cs="Arial"/>
          <w:color w:val="auto"/>
          <w:sz w:val="24"/>
          <w:szCs w:val="24"/>
        </w:rPr>
      </w:pPr>
      <w:r w:rsidRPr="00FC7329">
        <w:rPr>
          <w:rFonts w:ascii="Arial" w:eastAsia="Times New Roman" w:hAnsi="Arial" w:cs="Arial"/>
          <w:color w:val="auto"/>
          <w:sz w:val="24"/>
          <w:szCs w:val="24"/>
        </w:rPr>
        <w:t>Today, moderate to heavy rains will be experienced over Ilocos Region, Cordillera Administrative Region, Cagayan Valley, Central Luzon, Cavite, Batangas, Occidental Mindoro, northern Palawan including Calamian and Cuyo Islands, Aklan, Antique, Capiz, Iloilo, and Guimaras. Meanwhile, light to moderate with at times heavy rains will be experienced over Metro Manila, CALABARZON, Bicol Region, and the rest of Visayas, and the rest of MIMAROPA.</w:t>
      </w:r>
    </w:p>
    <w:p w:rsidR="00FC7329" w:rsidRDefault="00FC7329" w:rsidP="00FC7329">
      <w:pPr>
        <w:pStyle w:val="ListParagraph"/>
        <w:numPr>
          <w:ilvl w:val="0"/>
          <w:numId w:val="3"/>
        </w:numPr>
        <w:rPr>
          <w:rFonts w:ascii="Arial" w:eastAsia="Times New Roman" w:hAnsi="Arial" w:cs="Arial"/>
          <w:color w:val="auto"/>
          <w:sz w:val="24"/>
          <w:szCs w:val="24"/>
        </w:rPr>
      </w:pPr>
      <w:r w:rsidRPr="00FC7329">
        <w:rPr>
          <w:rFonts w:ascii="Arial" w:eastAsia="Times New Roman" w:hAnsi="Arial" w:cs="Arial"/>
          <w:color w:val="auto"/>
          <w:sz w:val="24"/>
          <w:szCs w:val="24"/>
        </w:rPr>
        <w:t>Tomorrow (July 18) evening, moderate to heavy rains may prevail over Ilocos Region, Zambales, Bataan, Batangas, Cavite, and Occidental Mindoro. Meanwhile, light to moderate with at times heavy rains may prevail over the Metro Manila, Cagayan Valley, Cordillera Administrative Region, rest of Central Luzon and CALABARZON, and MIMAROPA.</w:t>
      </w:r>
    </w:p>
    <w:p w:rsidR="00FC7329" w:rsidRDefault="00FC7329" w:rsidP="00FC7329">
      <w:pPr>
        <w:pStyle w:val="ListParagraph"/>
        <w:numPr>
          <w:ilvl w:val="0"/>
          <w:numId w:val="3"/>
        </w:numPr>
        <w:rPr>
          <w:rFonts w:ascii="Arial" w:eastAsia="Times New Roman" w:hAnsi="Arial" w:cs="Arial"/>
          <w:color w:val="auto"/>
          <w:sz w:val="24"/>
          <w:szCs w:val="24"/>
        </w:rPr>
      </w:pPr>
      <w:r w:rsidRPr="00FC7329">
        <w:rPr>
          <w:rFonts w:ascii="Arial" w:eastAsia="Times New Roman" w:hAnsi="Arial" w:cs="Arial"/>
          <w:color w:val="auto"/>
          <w:sz w:val="24"/>
          <w:szCs w:val="24"/>
        </w:rPr>
        <w:t>Residents in the aforementioned areas, especially those living in areas identified to be at risk of flooding and landslides, are advised to take precautionary measures, coordinate with local disaster risk reduction and management offices, and continue monitoring for updates, especially the Thunderstorm Advisories and Heavy Rainfall Warnings to be issued by PAGASA Regional Services Divisions.</w:t>
      </w:r>
    </w:p>
    <w:p w:rsidR="00FC7329" w:rsidRDefault="00FC7329" w:rsidP="00FC7329">
      <w:pPr>
        <w:pStyle w:val="ListParagraph"/>
        <w:numPr>
          <w:ilvl w:val="0"/>
          <w:numId w:val="3"/>
        </w:numPr>
        <w:rPr>
          <w:rFonts w:ascii="Arial" w:eastAsia="Times New Roman" w:hAnsi="Arial" w:cs="Arial"/>
          <w:color w:val="auto"/>
          <w:sz w:val="24"/>
          <w:szCs w:val="24"/>
        </w:rPr>
      </w:pPr>
      <w:r w:rsidRPr="00FC7329">
        <w:rPr>
          <w:rFonts w:ascii="Arial" w:eastAsia="Times New Roman" w:hAnsi="Arial" w:cs="Arial"/>
          <w:color w:val="auto"/>
          <w:sz w:val="24"/>
          <w:szCs w:val="24"/>
        </w:rPr>
        <w:t xml:space="preserve">Sea travel is risky over the seaboards of areas under TCWS, the eastern seaboard of Central Luzon, the seaboard of Southern Luzon, </w:t>
      </w:r>
      <w:r w:rsidRPr="00FC7329">
        <w:rPr>
          <w:rFonts w:ascii="Arial" w:eastAsia="Times New Roman" w:hAnsi="Arial" w:cs="Arial"/>
          <w:color w:val="auto"/>
          <w:sz w:val="24"/>
          <w:szCs w:val="24"/>
        </w:rPr>
        <w:lastRenderedPageBreak/>
        <w:t>and the eastern and western seaboards of Visayas.</w:t>
      </w:r>
    </w:p>
    <w:p w:rsidR="00E03166" w:rsidRPr="00E03166" w:rsidRDefault="00FC7329" w:rsidP="00FC7329">
      <w:pPr>
        <w:pStyle w:val="ListParagraph"/>
        <w:numPr>
          <w:ilvl w:val="0"/>
          <w:numId w:val="3"/>
        </w:numPr>
        <w:rPr>
          <w:rFonts w:ascii="Arial" w:eastAsia="Times New Roman" w:hAnsi="Arial" w:cs="Arial"/>
          <w:color w:val="auto"/>
          <w:sz w:val="24"/>
          <w:szCs w:val="24"/>
        </w:rPr>
      </w:pPr>
      <w:r w:rsidRPr="00FC7329">
        <w:rPr>
          <w:rFonts w:ascii="Arial" w:eastAsia="Times New Roman" w:hAnsi="Arial" w:cs="Arial"/>
          <w:color w:val="auto"/>
          <w:sz w:val="24"/>
          <w:szCs w:val="24"/>
        </w:rPr>
        <w:t>This weather may exit the Philippine Area of Responsibility on Friday (19 July) morning.</w:t>
      </w:r>
    </w:p>
    <w:p w:rsidR="00E03166" w:rsidRDefault="00FC7329" w:rsidP="00FC7329">
      <w:pPr>
        <w:pStyle w:val="NoSpacing1"/>
        <w:ind w:left="426"/>
        <w:contextualSpacing/>
        <w:rPr>
          <w:rFonts w:ascii="Arial" w:eastAsia="Calibri" w:hAnsi="Arial" w:cs="Arial"/>
          <w:bCs/>
          <w:sz w:val="24"/>
          <w:szCs w:val="24"/>
          <w:lang w:val="en-PH" w:eastAsia="en-PH"/>
        </w:rPr>
      </w:pPr>
      <w:r w:rsidRPr="00FC7329">
        <w:rPr>
          <w:rFonts w:ascii="Arial" w:eastAsia="Calibri" w:hAnsi="Arial" w:cs="Arial"/>
          <w:bCs/>
          <w:sz w:val="24"/>
          <w:szCs w:val="24"/>
          <w:lang w:val="en-PH" w:eastAsia="en-PH"/>
        </w:rPr>
        <w:t>At 4:00 AM today, the center of Tropical Storm "FALCON" was estimated based on all available data in the coastal waters of Apa</w:t>
      </w:r>
      <w:r>
        <w:rPr>
          <w:rFonts w:ascii="Arial" w:eastAsia="Calibri" w:hAnsi="Arial" w:cs="Arial"/>
          <w:bCs/>
          <w:sz w:val="24"/>
          <w:szCs w:val="24"/>
          <w:lang w:val="en-PH" w:eastAsia="en-PH"/>
        </w:rPr>
        <w:t>rri, Cagayan (18.5 °N, 121.5 °E</w:t>
      </w:r>
      <w:r w:rsidRPr="00FC7329">
        <w:rPr>
          <w:rFonts w:ascii="Arial" w:eastAsia="Calibri" w:hAnsi="Arial" w:cs="Arial"/>
          <w:bCs/>
          <w:sz w:val="24"/>
          <w:szCs w:val="24"/>
          <w:lang w:val="en-PH" w:eastAsia="en-PH"/>
        </w:rPr>
        <w:t>)</w:t>
      </w:r>
    </w:p>
    <w:p w:rsidR="00151EA5" w:rsidRPr="00E03166" w:rsidRDefault="00A81C78" w:rsidP="00E03166">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941705</wp:posOffset>
                </wp:positionH>
                <wp:positionV relativeFrom="paragraph">
                  <wp:posOffset>59995</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15pt;margin-top:4.7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" filled="f" stroked="f">
                <v:textbo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6A0A17" w:rsidP="00816A95">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2336" behindDoc="1" locked="0" layoutInCell="1" allowOverlap="1">
            <wp:simplePos x="0" y="0"/>
            <wp:positionH relativeFrom="column">
              <wp:posOffset>4001647</wp:posOffset>
            </wp:positionH>
            <wp:positionV relativeFrom="paragraph">
              <wp:posOffset>84247</wp:posOffset>
            </wp:positionV>
            <wp:extent cx="5753869" cy="406907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 Falcon w Flood&amp;Landslide Hazard as of 16 July 2019 8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186" cy="4074254"/>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63360" behindDoc="1" locked="0" layoutInCell="1" allowOverlap="1">
            <wp:simplePos x="0" y="0"/>
            <wp:positionH relativeFrom="column">
              <wp:posOffset>300101</wp:posOffset>
            </wp:positionH>
            <wp:positionV relativeFrom="paragraph">
              <wp:posOffset>52857</wp:posOffset>
            </wp:positionV>
            <wp:extent cx="3591763" cy="210439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or families jul 17 5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1763" cy="2104390"/>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6A0A17" w:rsidP="00816A95">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4384" behindDoc="1" locked="0" layoutInCell="1" allowOverlap="1">
            <wp:simplePos x="0" y="0"/>
            <wp:positionH relativeFrom="column">
              <wp:posOffset>300101</wp:posOffset>
            </wp:positionH>
            <wp:positionV relativeFrom="paragraph">
              <wp:posOffset>92989</wp:posOffset>
            </wp:positionV>
            <wp:extent cx="3591763" cy="206248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ulation exposed jul 17 5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377" cy="2066852"/>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251556" w:rsidRDefault="00251556" w:rsidP="00816A95">
      <w:pPr>
        <w:spacing w:after="0" w:line="240" w:lineRule="auto"/>
        <w:contextualSpacing/>
        <w:rPr>
          <w:rFonts w:ascii="Arial" w:eastAsia="Arial" w:hAnsi="Arial" w:cs="Arial"/>
          <w:b/>
          <w:color w:val="002060"/>
          <w:sz w:val="28"/>
          <w:szCs w:val="24"/>
        </w:rPr>
      </w:pPr>
    </w:p>
    <w:p w:rsidR="00FC7329" w:rsidRDefault="00FC7329" w:rsidP="00816A95">
      <w:pPr>
        <w:spacing w:after="0" w:line="240" w:lineRule="auto"/>
        <w:contextualSpacing/>
        <w:rPr>
          <w:rFonts w:ascii="Arial" w:eastAsia="Arial" w:hAnsi="Arial" w:cs="Arial"/>
          <w:b/>
          <w:color w:val="002060"/>
          <w:sz w:val="28"/>
          <w:szCs w:val="24"/>
        </w:rPr>
      </w:pPr>
    </w:p>
    <w:p w:rsidR="00FC7329" w:rsidRDefault="00FC7329" w:rsidP="00816A95">
      <w:pPr>
        <w:spacing w:after="0" w:line="240" w:lineRule="auto"/>
        <w:contextualSpacing/>
        <w:rPr>
          <w:rFonts w:ascii="Arial" w:eastAsia="Arial" w:hAnsi="Arial" w:cs="Arial"/>
          <w:b/>
          <w:color w:val="002060"/>
          <w:sz w:val="28"/>
          <w:szCs w:val="24"/>
        </w:rPr>
      </w:pPr>
    </w:p>
    <w:p w:rsidR="00FC7329" w:rsidRDefault="00FC7329"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1,984,745,767.19</w:t>
      </w:r>
      <w:r w:rsidR="006A5D7C">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6A0A17" w:rsidRDefault="00696FAF" w:rsidP="00816A95">
      <w:pPr>
        <w:spacing w:after="0" w:line="240" w:lineRule="auto"/>
        <w:ind w:left="720"/>
        <w:contextualSpacing/>
        <w:jc w:val="both"/>
        <w:rPr>
          <w:rFonts w:ascii="Arial" w:eastAsia="Arial" w:hAnsi="Arial" w:cs="Arial"/>
          <w:color w:val="auto"/>
          <w:sz w:val="24"/>
          <w:szCs w:val="24"/>
        </w:rPr>
      </w:pPr>
      <w:r w:rsidRPr="006A0A17">
        <w:rPr>
          <w:rFonts w:ascii="Arial" w:eastAsia="Arial" w:hAnsi="Arial" w:cs="Arial"/>
          <w:color w:val="auto"/>
          <w:sz w:val="24"/>
          <w:szCs w:val="24"/>
        </w:rPr>
        <w:t xml:space="preserve">A total of </w:t>
      </w:r>
      <w:r w:rsidR="007A4353" w:rsidRPr="006A0A17">
        <w:rPr>
          <w:rFonts w:ascii="Arial" w:eastAsia="Arial" w:hAnsi="Arial" w:cs="Arial"/>
          <w:b/>
          <w:color w:val="auto"/>
          <w:sz w:val="24"/>
          <w:szCs w:val="24"/>
        </w:rPr>
        <w:t>₱</w:t>
      </w:r>
      <w:r w:rsidR="00D22211" w:rsidRPr="006A0A17">
        <w:rPr>
          <w:rFonts w:ascii="Arial" w:eastAsia="Arial" w:hAnsi="Arial" w:cs="Arial"/>
          <w:b/>
          <w:color w:val="auto"/>
          <w:sz w:val="24"/>
          <w:szCs w:val="24"/>
        </w:rPr>
        <w:t xml:space="preserve">1,190,869,415.84 </w:t>
      </w:r>
      <w:r w:rsidRPr="006A0A17">
        <w:rPr>
          <w:rFonts w:ascii="Arial" w:eastAsia="Arial" w:hAnsi="Arial" w:cs="Arial"/>
          <w:color w:val="auto"/>
          <w:sz w:val="24"/>
          <w:szCs w:val="24"/>
        </w:rPr>
        <w:t xml:space="preserve">standby funds in the </w:t>
      </w:r>
      <w:r w:rsidR="00583D8D" w:rsidRPr="006A0A17">
        <w:rPr>
          <w:rFonts w:ascii="Arial" w:eastAsia="Arial" w:hAnsi="Arial" w:cs="Arial"/>
          <w:color w:val="auto"/>
          <w:sz w:val="24"/>
          <w:szCs w:val="24"/>
        </w:rPr>
        <w:t xml:space="preserve">CO and FOs. Of the said amount, </w:t>
      </w:r>
      <w:r w:rsidR="007A4353" w:rsidRPr="006A0A17">
        <w:rPr>
          <w:rFonts w:ascii="Arial" w:eastAsia="Arial" w:hAnsi="Arial" w:cs="Arial"/>
          <w:b/>
          <w:color w:val="auto"/>
          <w:sz w:val="24"/>
          <w:szCs w:val="24"/>
        </w:rPr>
        <w:t>₱</w:t>
      </w:r>
      <w:r w:rsidR="00D22211" w:rsidRPr="006A0A17">
        <w:rPr>
          <w:rFonts w:ascii="Arial" w:eastAsia="Arial" w:hAnsi="Arial" w:cs="Arial"/>
          <w:b/>
          <w:color w:val="auto"/>
          <w:sz w:val="24"/>
          <w:szCs w:val="24"/>
        </w:rPr>
        <w:t xml:space="preserve">1,146,974,543.16 </w:t>
      </w:r>
      <w:r w:rsidRPr="006A0A17">
        <w:rPr>
          <w:rFonts w:ascii="Arial" w:eastAsia="Arial" w:hAnsi="Arial" w:cs="Arial"/>
          <w:color w:val="auto"/>
          <w:sz w:val="24"/>
          <w:szCs w:val="24"/>
        </w:rPr>
        <w:t xml:space="preserve">is the available Quick Response Fund </w:t>
      </w:r>
      <w:r w:rsidR="005F7E3F" w:rsidRPr="006A0A17">
        <w:rPr>
          <w:rFonts w:ascii="Arial" w:eastAsia="Arial" w:hAnsi="Arial" w:cs="Arial"/>
          <w:color w:val="auto"/>
          <w:sz w:val="24"/>
          <w:szCs w:val="24"/>
        </w:rPr>
        <w:t xml:space="preserve">(QRF) </w:t>
      </w:r>
      <w:r w:rsidRPr="006A0A17">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6A0A17"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6A0A17">
        <w:rPr>
          <w:rFonts w:ascii="Arial" w:eastAsia="Arial" w:hAnsi="Arial" w:cs="Arial"/>
          <w:b/>
          <w:color w:val="auto"/>
          <w:sz w:val="24"/>
          <w:szCs w:val="24"/>
        </w:rPr>
        <w:t>Stockpiles</w:t>
      </w:r>
    </w:p>
    <w:p w:rsidR="00A81C78" w:rsidRPr="006A0A17" w:rsidRDefault="00696FAF" w:rsidP="00816A95">
      <w:pPr>
        <w:spacing w:after="0" w:line="240" w:lineRule="auto"/>
        <w:ind w:left="720"/>
        <w:contextualSpacing/>
        <w:jc w:val="both"/>
        <w:rPr>
          <w:rFonts w:ascii="Arial" w:eastAsia="Arial" w:hAnsi="Arial" w:cs="Arial"/>
          <w:color w:val="auto"/>
          <w:sz w:val="24"/>
          <w:szCs w:val="24"/>
        </w:rPr>
      </w:pPr>
      <w:r w:rsidRPr="006A0A17">
        <w:rPr>
          <w:rFonts w:ascii="Arial" w:eastAsia="Arial" w:hAnsi="Arial" w:cs="Arial"/>
          <w:color w:val="auto"/>
          <w:sz w:val="24"/>
          <w:szCs w:val="24"/>
        </w:rPr>
        <w:t xml:space="preserve">A total of </w:t>
      </w:r>
      <w:r w:rsidR="00D22211" w:rsidRPr="006A0A17">
        <w:rPr>
          <w:rFonts w:ascii="Arial" w:eastAsia="Arial" w:hAnsi="Arial" w:cs="Arial"/>
          <w:b/>
          <w:color w:val="auto"/>
          <w:sz w:val="24"/>
          <w:szCs w:val="24"/>
        </w:rPr>
        <w:t xml:space="preserve">359,124 </w:t>
      </w:r>
      <w:r w:rsidRPr="006A0A17">
        <w:rPr>
          <w:rFonts w:ascii="Arial" w:eastAsia="Arial" w:hAnsi="Arial" w:cs="Arial"/>
          <w:b/>
          <w:color w:val="auto"/>
          <w:sz w:val="24"/>
          <w:szCs w:val="24"/>
        </w:rPr>
        <w:t>Family Food Packs (FFPs)</w:t>
      </w:r>
      <w:r w:rsidRPr="006A0A17">
        <w:rPr>
          <w:rFonts w:ascii="Arial" w:eastAsia="Arial" w:hAnsi="Arial" w:cs="Arial"/>
          <w:color w:val="auto"/>
          <w:sz w:val="24"/>
          <w:szCs w:val="24"/>
        </w:rPr>
        <w:t xml:space="preserve"> amounting to </w:t>
      </w:r>
      <w:r w:rsidR="007A4353" w:rsidRPr="006A0A17">
        <w:rPr>
          <w:rFonts w:ascii="Arial" w:eastAsia="Arial" w:hAnsi="Arial" w:cs="Arial"/>
          <w:b/>
          <w:color w:val="auto"/>
          <w:sz w:val="24"/>
          <w:szCs w:val="24"/>
        </w:rPr>
        <w:t>₱</w:t>
      </w:r>
      <w:r w:rsidR="00D22211" w:rsidRPr="006A0A17">
        <w:rPr>
          <w:rFonts w:ascii="Arial" w:eastAsia="Arial" w:hAnsi="Arial" w:cs="Arial"/>
          <w:b/>
          <w:color w:val="auto"/>
          <w:sz w:val="24"/>
          <w:szCs w:val="24"/>
        </w:rPr>
        <w:t xml:space="preserve">134,922,306.28 </w:t>
      </w:r>
      <w:r w:rsidRPr="006A0A17">
        <w:rPr>
          <w:rFonts w:ascii="Arial" w:eastAsia="Arial" w:hAnsi="Arial" w:cs="Arial"/>
          <w:color w:val="auto"/>
          <w:sz w:val="24"/>
          <w:szCs w:val="24"/>
        </w:rPr>
        <w:t xml:space="preserve">and available </w:t>
      </w:r>
      <w:r w:rsidRPr="006A0A17">
        <w:rPr>
          <w:rFonts w:ascii="Arial" w:eastAsia="Arial" w:hAnsi="Arial" w:cs="Arial"/>
          <w:b/>
          <w:color w:val="auto"/>
          <w:sz w:val="24"/>
          <w:szCs w:val="24"/>
        </w:rPr>
        <w:t>Food and Non-food Items (FNIs)</w:t>
      </w:r>
      <w:r w:rsidRPr="006A0A17">
        <w:rPr>
          <w:rFonts w:ascii="Arial" w:eastAsia="Arial" w:hAnsi="Arial" w:cs="Arial"/>
          <w:color w:val="auto"/>
          <w:sz w:val="24"/>
          <w:szCs w:val="24"/>
        </w:rPr>
        <w:t xml:space="preserve"> amounting to </w:t>
      </w:r>
      <w:r w:rsidR="007A4353" w:rsidRPr="006A0A17">
        <w:rPr>
          <w:rFonts w:ascii="Arial" w:eastAsia="Arial" w:hAnsi="Arial" w:cs="Arial"/>
          <w:b/>
          <w:color w:val="auto"/>
          <w:sz w:val="24"/>
          <w:szCs w:val="24"/>
        </w:rPr>
        <w:t>₱</w:t>
      </w:r>
      <w:r w:rsidR="00D22211" w:rsidRPr="006A0A17">
        <w:rPr>
          <w:rFonts w:ascii="Arial" w:eastAsia="Arial" w:hAnsi="Arial" w:cs="Arial"/>
          <w:b/>
          <w:color w:val="auto"/>
          <w:sz w:val="24"/>
          <w:szCs w:val="24"/>
        </w:rPr>
        <w:t>658,954,045.07</w:t>
      </w:r>
      <w:r w:rsidRPr="006A0A17">
        <w:rPr>
          <w:rFonts w:ascii="Arial" w:eastAsia="Arial" w:hAnsi="Arial" w:cs="Arial"/>
          <w:color w:val="auto"/>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460385"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STANDBY FUNDS &amp; STOCKPILE</w:t>
            </w:r>
          </w:p>
        </w:tc>
      </w:tr>
      <w:tr w:rsidR="004808D9" w:rsidRPr="00460385" w:rsidTr="00971537">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Non Food Items</w:t>
            </w:r>
          </w:p>
        </w:tc>
        <w:tc>
          <w:tcPr>
            <w:tcW w:w="922"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4808D9"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922" w:type="pct"/>
            <w:vMerge/>
            <w:tcBorders>
              <w:top w:val="single" w:sz="6" w:space="0" w:color="CCCCCC"/>
              <w:left w:val="single" w:sz="6" w:space="0" w:color="CCCCCC"/>
              <w:bottom w:val="single" w:sz="6" w:space="0" w:color="000000"/>
              <w:right w:val="single" w:sz="4" w:space="0" w:color="auto"/>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971537"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bCs/>
                <w:sz w:val="20"/>
                <w:szCs w:val="20"/>
              </w:rPr>
            </w:pPr>
            <w:r w:rsidRPr="00971537">
              <w:rPr>
                <w:rFonts w:eastAsia="Times New Roman" w:cs="Arial"/>
                <w:b/>
                <w:bCs/>
                <w:sz w:val="20"/>
                <w:szCs w:val="20"/>
              </w:rPr>
              <w:t>TOTAL</w:t>
            </w:r>
          </w:p>
        </w:tc>
        <w:tc>
          <w:tcPr>
            <w:tcW w:w="587" w:type="pct"/>
            <w:vMerge/>
            <w:tcBorders>
              <w:top w:val="single" w:sz="6" w:space="0" w:color="000000"/>
              <w:left w:val="single" w:sz="6" w:space="0" w:color="CCCCCC"/>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1,190,869,415.84</w:t>
            </w: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359,124</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134,922,306.28</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161,342,886.34</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497,611,158.73</w:t>
            </w:r>
          </w:p>
        </w:tc>
        <w:tc>
          <w:tcPr>
            <w:tcW w:w="922" w:type="pct"/>
            <w:vMerge/>
            <w:tcBorders>
              <w:top w:val="single" w:sz="6" w:space="0" w:color="CCCCCC"/>
              <w:left w:val="single" w:sz="6" w:space="0" w:color="CCCCCC"/>
              <w:bottom w:val="single" w:sz="6" w:space="0" w:color="000000"/>
              <w:right w:val="single" w:sz="4" w:space="0" w:color="auto"/>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658,954,045.07</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1,984,745,767.19</w:t>
            </w:r>
          </w:p>
        </w:tc>
      </w:tr>
      <w:tr w:rsidR="00460385" w:rsidRPr="00460385" w:rsidTr="00460385">
        <w:trPr>
          <w:trHeight w:val="20"/>
        </w:trPr>
        <w:tc>
          <w:tcPr>
            <w:tcW w:w="520"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1,190,869,415.84</w:t>
            </w:r>
          </w:p>
        </w:tc>
        <w:tc>
          <w:tcPr>
            <w:tcW w:w="31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359,124</w:t>
            </w:r>
          </w:p>
        </w:tc>
        <w:tc>
          <w:tcPr>
            <w:tcW w:w="52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134,922,306.28</w:t>
            </w:r>
          </w:p>
        </w:tc>
        <w:tc>
          <w:tcPr>
            <w:tcW w:w="59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161,342,886.34</w:t>
            </w:r>
          </w:p>
        </w:tc>
        <w:tc>
          <w:tcPr>
            <w:tcW w:w="53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497,611,158.73</w:t>
            </w:r>
          </w:p>
        </w:tc>
        <w:tc>
          <w:tcPr>
            <w:tcW w:w="92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658,954,045.07</w:t>
            </w:r>
          </w:p>
        </w:tc>
        <w:tc>
          <w:tcPr>
            <w:tcW w:w="994" w:type="pct"/>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1,984,745,767.19</w:t>
            </w:r>
          </w:p>
        </w:tc>
      </w:tr>
      <w:tr w:rsidR="00460385" w:rsidRPr="00460385" w:rsidTr="00D22211">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Central Office</w:t>
            </w:r>
          </w:p>
        </w:tc>
        <w:tc>
          <w:tcPr>
            <w:tcW w:w="587" w:type="pct"/>
            <w:tcBorders>
              <w:top w:val="double" w:sz="2"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c>
          <w:tcPr>
            <w:tcW w:w="31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p>
        </w:tc>
        <w:tc>
          <w:tcPr>
            <w:tcW w:w="52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9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39"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2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9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r>
      <w:tr w:rsidR="00460385" w:rsidRPr="00460385" w:rsidTr="00D22211">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NROC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98,800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37,261,432.00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79,438,561.86</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330,957,856.78</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410,396,418.64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447,657,850.64</w:t>
            </w:r>
          </w:p>
        </w:tc>
      </w:tr>
      <w:tr w:rsidR="00460385" w:rsidRPr="00460385" w:rsidTr="00D22211">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VDRC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11,700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4,212,000.00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1,203,200.00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5,224,562.31</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6,427,762.31</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10,639,762.31</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2,379,275.00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7,846</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2,824,560.00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2,257,200.00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37,869,937.80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40,127,137.80</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45,330,972.80</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2,607,537.00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17,434</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5,731,851.40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3,352,676.29</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349,602.75</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3,702,279.04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12,041,667.44</w:t>
            </w:r>
          </w:p>
        </w:tc>
      </w:tr>
      <w:tr w:rsidR="00460385" w:rsidRPr="00460385" w:rsidTr="00D22211">
        <w:trPr>
          <w:trHeight w:val="278"/>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2,404,557.00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26,229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11,140,309.24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899,919.70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241,706.00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1,141,625.70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14,686,491.94</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lastRenderedPageBreak/>
              <w:t>CALABARZON</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2,544,350.00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4,859</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1,750,614.94</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3,418,826.40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2,398,989.61</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5,817,816.01</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10,112,780.95</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MIMAROPA</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1,494,971.58</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24,764</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10,351,352.00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2,243,173.55</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859,605.00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3,102,778.55</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14,949,102.13</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20,187</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7,823,020.34</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11,417,748.72</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40,704,948.22</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52,122,696.94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62,945,717.28</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20,373</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7,497,110.00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8,109,495.37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3,738,152.50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11,847,647.87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22,344,757.87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20,232</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7,283,520.00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17,439,687.87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14,879,591.20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32,319,279.07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42,602,799.07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3,001,960.00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29,306</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10,591,774.52</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1,304,119.84</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1,163,983.00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2,468,102.84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16,061,837.36</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1,768,321.35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3,642,840.00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813,730.00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3,793,242.35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4,606,972.35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10,018,133.70</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9,004</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3,241,440.00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6,564,325.20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31,673,552.96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38,237,878.16</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44,479,318.16</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3,028,750.00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19,181</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6,932,013.40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11,053,700.00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10,869,627.34</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21,923,327.34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31,884,090.74</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3,680,801.30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5,908</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2,369,108.00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2,769,132.67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851,017.26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3,620,149.93</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9,670,059.23</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CARAGA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13,617</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4,966,096.50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1,682,002.00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6,193,295.05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7,875,297.05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15,841,393.55</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NCR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3,292,543.50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3,665</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1,341,789.14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1,998,746.57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928,770.00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2,927,516.57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7,561,849.21</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2,691,805.95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15,900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5,961,474.80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5,376,640.30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4,912,718.60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10,289,358.90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18,942,639.65</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460385">
        <w:rPr>
          <w:rFonts w:ascii="Arial" w:hAnsi="Arial" w:cs="Arial"/>
          <w:i/>
          <w:sz w:val="20"/>
          <w:szCs w:val="24"/>
        </w:rPr>
        <w:t>12</w:t>
      </w:r>
      <w:r>
        <w:rPr>
          <w:rFonts w:ascii="Arial" w:hAnsi="Arial" w:cs="Arial"/>
          <w:i/>
          <w:sz w:val="20"/>
          <w:szCs w:val="24"/>
        </w:rPr>
        <w:t xml:space="preserve"> Ju</w:t>
      </w:r>
      <w:r w:rsidR="00460385">
        <w:rPr>
          <w:rFonts w:ascii="Arial" w:hAnsi="Arial" w:cs="Arial"/>
          <w:i/>
          <w:sz w:val="20"/>
          <w:szCs w:val="24"/>
        </w:rPr>
        <w:t>ly</w:t>
      </w:r>
      <w:r>
        <w:rPr>
          <w:rFonts w:ascii="Arial" w:hAnsi="Arial" w:cs="Arial"/>
          <w:i/>
          <w:sz w:val="20"/>
          <w:szCs w:val="24"/>
        </w:rPr>
        <w:t xml:space="preserve"> </w:t>
      </w:r>
      <w:r w:rsidR="00D700D1" w:rsidRPr="00D700D1">
        <w:rPr>
          <w:rFonts w:ascii="Arial" w:hAnsi="Arial" w:cs="Arial"/>
          <w:i/>
          <w:sz w:val="20"/>
          <w:szCs w:val="24"/>
        </w:rPr>
        <w:t>2019</w:t>
      </w: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FC7329" w:rsidP="00D2221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17</w:t>
            </w:r>
            <w:r w:rsidR="00454E8A" w:rsidRPr="007412EE">
              <w:rPr>
                <w:rFonts w:ascii="Arial" w:eastAsia="Arial" w:hAnsi="Arial" w:cs="Arial"/>
                <w:color w:val="0070C0"/>
                <w:sz w:val="24"/>
                <w:szCs w:val="24"/>
              </w:rPr>
              <w:t xml:space="preserve"> </w:t>
            </w:r>
            <w:r w:rsidR="00515F7A" w:rsidRPr="007412EE">
              <w:rPr>
                <w:rFonts w:ascii="Arial" w:eastAsia="Arial" w:hAnsi="Arial" w:cs="Arial"/>
                <w:color w:val="0070C0"/>
                <w:sz w:val="24"/>
                <w:szCs w:val="24"/>
              </w:rPr>
              <w:t>July</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D700D1" w:rsidRPr="007412EE">
              <w:rPr>
                <w:rFonts w:ascii="Arial" w:eastAsia="Arial" w:hAnsi="Arial" w:cs="Arial"/>
                <w:color w:val="0070C0"/>
                <w:sz w:val="24"/>
                <w:szCs w:val="24"/>
              </w:rPr>
              <w:t xml:space="preserve">is </w:t>
            </w:r>
            <w:r w:rsidR="007412EE">
              <w:rPr>
                <w:rFonts w:ascii="Arial" w:eastAsia="Arial" w:hAnsi="Arial" w:cs="Arial"/>
                <w:color w:val="0070C0"/>
                <w:sz w:val="24"/>
                <w:szCs w:val="24"/>
              </w:rPr>
              <w:t xml:space="preserve">on </w:t>
            </w:r>
            <w:r w:rsidR="007412EE" w:rsidRPr="007412EE">
              <w:rPr>
                <w:rFonts w:ascii="Arial" w:eastAsia="Arial" w:hAnsi="Arial" w:cs="Arial"/>
                <w:b/>
                <w:color w:val="0070C0"/>
                <w:sz w:val="24"/>
                <w:szCs w:val="24"/>
              </w:rPr>
              <w:t xml:space="preserve">BLUE </w:t>
            </w:r>
            <w:r w:rsidR="007412EE">
              <w:rPr>
                <w:rFonts w:ascii="Arial" w:eastAsia="Arial" w:hAnsi="Arial" w:cs="Arial"/>
                <w:color w:val="0070C0"/>
                <w:sz w:val="24"/>
                <w:szCs w:val="24"/>
              </w:rPr>
              <w:t xml:space="preserve">Alert Status and is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515F7A">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515F7A" w:rsidRDefault="00515F7A" w:rsidP="007412E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515F7A">
              <w:rPr>
                <w:rFonts w:ascii="Arial" w:hAnsi="Arial" w:cs="Arial"/>
                <w:color w:val="000000" w:themeColor="text1"/>
                <w:sz w:val="24"/>
                <w:szCs w:val="24"/>
              </w:rPr>
              <w:t>1</w:t>
            </w:r>
            <w:r w:rsidR="00814CFB">
              <w:rPr>
                <w:rFonts w:ascii="Arial" w:hAnsi="Arial" w:cs="Arial"/>
                <w:color w:val="000000" w:themeColor="text1"/>
                <w:sz w:val="24"/>
                <w:szCs w:val="24"/>
              </w:rPr>
              <w:t>6</w:t>
            </w:r>
            <w:r w:rsidRPr="00515F7A">
              <w:rPr>
                <w:rFonts w:ascii="Arial" w:hAnsi="Arial" w:cs="Arial"/>
                <w:color w:val="000000" w:themeColor="text1"/>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0E80" w:rsidRDefault="00515F7A"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Disaster Response Operations Monitoring and Information Center (DROMIC) of the DSWD-FO CAR is on </w:t>
            </w:r>
            <w:r w:rsidR="00D22211" w:rsidRPr="00D22211">
              <w:rPr>
                <w:rFonts w:ascii="Arial" w:eastAsia="Arial" w:hAnsi="Arial" w:cs="Arial"/>
                <w:b/>
                <w:color w:val="0070C0"/>
                <w:sz w:val="24"/>
                <w:szCs w:val="24"/>
              </w:rPr>
              <w:t>BLUE</w:t>
            </w:r>
            <w:r w:rsidR="00D22211" w:rsidRPr="00D22211">
              <w:rPr>
                <w:rFonts w:ascii="Arial" w:eastAsia="Arial" w:hAnsi="Arial" w:cs="Arial"/>
                <w:sz w:val="24"/>
                <w:szCs w:val="24"/>
              </w:rPr>
              <w:t xml:space="preserve"> Alert Level Status.</w:t>
            </w:r>
            <w:r w:rsidR="00D22211">
              <w:rPr>
                <w:rFonts w:ascii="Arial" w:eastAsia="Arial" w:hAnsi="Arial" w:cs="Arial"/>
                <w:sz w:val="24"/>
                <w:szCs w:val="24"/>
              </w:rPr>
              <w:t xml:space="preserve"> </w:t>
            </w:r>
          </w:p>
          <w:p w:rsidR="00F67130"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The Provincial Social Welfare and Development Teams (PSWADT) DRMD</w:t>
            </w:r>
            <w:r>
              <w:rPr>
                <w:rFonts w:ascii="Arial" w:eastAsia="Arial" w:hAnsi="Arial" w:cs="Arial"/>
                <w:sz w:val="24"/>
                <w:szCs w:val="24"/>
              </w:rPr>
              <w:t xml:space="preserve"> </w:t>
            </w:r>
            <w:r w:rsidR="006A5D7C">
              <w:rPr>
                <w:rFonts w:ascii="Arial" w:eastAsia="Arial" w:hAnsi="Arial" w:cs="Arial"/>
                <w:sz w:val="24"/>
                <w:szCs w:val="24"/>
              </w:rPr>
              <w:t>PDO IIs are alerted; members are on standby for</w:t>
            </w:r>
            <w:r w:rsidRPr="00F67130">
              <w:rPr>
                <w:rFonts w:ascii="Arial" w:eastAsia="Arial" w:hAnsi="Arial" w:cs="Arial"/>
                <w:sz w:val="24"/>
                <w:szCs w:val="24"/>
              </w:rPr>
              <w:t xml:space="preserve"> possible effects of</w:t>
            </w:r>
            <w:r>
              <w:rPr>
                <w:rFonts w:ascii="Arial" w:eastAsia="Arial" w:hAnsi="Arial" w:cs="Arial"/>
                <w:sz w:val="24"/>
                <w:szCs w:val="24"/>
              </w:rPr>
              <w:t xml:space="preserve"> </w:t>
            </w:r>
            <w:r w:rsidRPr="00F67130">
              <w:rPr>
                <w:rFonts w:ascii="Arial" w:eastAsia="Arial" w:hAnsi="Arial" w:cs="Arial"/>
                <w:sz w:val="24"/>
                <w:szCs w:val="24"/>
              </w:rPr>
              <w:t>the weather disturbance.</w:t>
            </w:r>
          </w:p>
          <w:p w:rsidR="00F67130" w:rsidRPr="006A5D7C"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Rapid Emergency Telecommunications Team (RETT) including the</w:t>
            </w:r>
            <w:r>
              <w:rPr>
                <w:rFonts w:ascii="Arial" w:eastAsia="Arial" w:hAnsi="Arial" w:cs="Arial"/>
                <w:sz w:val="24"/>
                <w:szCs w:val="24"/>
              </w:rPr>
              <w:t xml:space="preserve"> </w:t>
            </w:r>
            <w:r w:rsidRPr="00F67130">
              <w:rPr>
                <w:rFonts w:ascii="Arial" w:eastAsia="Arial" w:hAnsi="Arial" w:cs="Arial"/>
                <w:sz w:val="24"/>
                <w:szCs w:val="24"/>
              </w:rPr>
              <w:t>International Maritime/Marine Satellite (INMARSAT) equipment are on standby.</w:t>
            </w:r>
          </w:p>
        </w:tc>
      </w:tr>
    </w:tbl>
    <w:p w:rsidR="00904E27" w:rsidRDefault="00904E27" w:rsidP="00816A95">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6A0A17" w:rsidRDefault="00C36108" w:rsidP="00C35750">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7"/>
              <w:jc w:val="center"/>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6A0A17" w:rsidRDefault="00C36108" w:rsidP="00C36108">
            <w:pPr>
              <w:pStyle w:val="ListParagraph"/>
              <w:numPr>
                <w:ilvl w:val="0"/>
                <w:numId w:val="1"/>
              </w:numPr>
              <w:spacing w:after="0" w:line="240" w:lineRule="auto"/>
              <w:ind w:left="322" w:hanging="322"/>
              <w:jc w:val="both"/>
              <w:rPr>
                <w:rFonts w:ascii="Arial" w:eastAsia="Arial" w:hAnsi="Arial" w:cs="Arial"/>
                <w:color w:val="auto"/>
                <w:sz w:val="24"/>
                <w:szCs w:val="24"/>
              </w:rPr>
            </w:pPr>
            <w:r w:rsidRPr="006A0A17">
              <w:rPr>
                <w:rFonts w:ascii="Arial" w:eastAsia="Arial" w:hAnsi="Arial" w:cs="Arial"/>
                <w:color w:val="auto"/>
                <w:sz w:val="24"/>
                <w:szCs w:val="24"/>
              </w:rPr>
              <w:t xml:space="preserve">The Disaster Response Management Division (DRMD) staff of DSWD-FO I together with the Provincial Operations Offices (POOs) are closely monitoring the possible effects of the current weather condition and ensuring submission of reports when needed. </w:t>
            </w:r>
          </w:p>
          <w:p w:rsidR="00C36108" w:rsidRPr="006A0A17" w:rsidRDefault="00C36108" w:rsidP="00C36108">
            <w:pPr>
              <w:pStyle w:val="ListParagraph"/>
              <w:numPr>
                <w:ilvl w:val="0"/>
                <w:numId w:val="1"/>
              </w:numPr>
              <w:spacing w:after="0" w:line="240" w:lineRule="auto"/>
              <w:ind w:left="322" w:hanging="322"/>
              <w:jc w:val="both"/>
              <w:rPr>
                <w:rFonts w:ascii="Arial" w:eastAsia="Arial" w:hAnsi="Arial" w:cs="Arial"/>
                <w:color w:val="auto"/>
                <w:sz w:val="24"/>
                <w:szCs w:val="24"/>
              </w:rPr>
            </w:pPr>
            <w:r w:rsidRPr="006A0A17">
              <w:rPr>
                <w:rFonts w:ascii="Arial" w:eastAsia="Arial" w:hAnsi="Arial" w:cs="Arial"/>
                <w:color w:val="auto"/>
                <w:sz w:val="24"/>
                <w:szCs w:val="24"/>
              </w:rPr>
              <w:t>DRMD attended and presided the Emergency Response Plan (ERP)/ Pre-Disaster Risk Assessment (PDRA) Meeting at the Regional Disaster Risk Reduction and Management Council Emergency Operations Center (RDRRMC-EOC) to synchronize plans and activities that would lessen the adverse effect that might be brought by the tropical depression.</w:t>
            </w:r>
          </w:p>
        </w:tc>
      </w:tr>
    </w:tbl>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F67130" w:rsidRDefault="00F67130" w:rsidP="00F67130">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67130"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67130"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6A0A17" w:rsidRDefault="00F67130" w:rsidP="007412EE">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7"/>
              <w:jc w:val="center"/>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E43F3" w:rsidRPr="006A0A17" w:rsidRDefault="00F67130" w:rsidP="00BE43F3">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 xml:space="preserve">DSWD-FO II is </w:t>
            </w:r>
            <w:r w:rsidR="00BE43F3" w:rsidRPr="006A0A17">
              <w:rPr>
                <w:rFonts w:ascii="Arial" w:eastAsia="Arial" w:hAnsi="Arial" w:cs="Arial"/>
                <w:b/>
                <w:color w:val="FF0000"/>
                <w:sz w:val="24"/>
                <w:szCs w:val="24"/>
              </w:rPr>
              <w:t xml:space="preserve">RED </w:t>
            </w:r>
            <w:r w:rsidR="00BC551C" w:rsidRPr="006A0A17">
              <w:rPr>
                <w:rFonts w:ascii="Arial" w:eastAsia="Arial" w:hAnsi="Arial" w:cs="Arial"/>
                <w:color w:val="auto"/>
                <w:sz w:val="24"/>
                <w:szCs w:val="24"/>
              </w:rPr>
              <w:t xml:space="preserve">on </w:t>
            </w:r>
            <w:r w:rsidR="00BE43F3" w:rsidRPr="006A0A17">
              <w:rPr>
                <w:rFonts w:ascii="Arial" w:eastAsia="Arial" w:hAnsi="Arial" w:cs="Arial"/>
                <w:color w:val="auto"/>
                <w:sz w:val="24"/>
                <w:szCs w:val="24"/>
              </w:rPr>
              <w:t>Alert Status. Thus, the Regional Disaster Management and Response Team (RDMRT), SWAD Cagayan and Isabela, C/MATS of the said provinces are now on 24-hour duty to monitor the possible effects of TD Falcon.</w:t>
            </w:r>
          </w:p>
          <w:p w:rsidR="00BE43F3" w:rsidRPr="006A0A17" w:rsidRDefault="00BE43F3" w:rsidP="00BE43F3">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As per report of SWAD Team Leader of Batanes, the PDRRMO already distributed nylon ropes to all houses made of light materials to six municipalities in the event that TD Falcon accelerates its strength.</w:t>
            </w:r>
          </w:p>
          <w:p w:rsidR="00F67130" w:rsidRPr="006A0A17" w:rsidRDefault="00BE43F3" w:rsidP="00BE43F3">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II is continuously coordinating with SWADTs and C/MATs for weather advisories.</w:t>
            </w:r>
          </w:p>
        </w:tc>
      </w:tr>
    </w:tbl>
    <w:p w:rsidR="00F67130" w:rsidRDefault="00F67130" w:rsidP="00816A95">
      <w:pPr>
        <w:spacing w:after="0" w:line="240" w:lineRule="auto"/>
        <w:contextualSpacing/>
        <w:rPr>
          <w:rFonts w:ascii="Arial" w:eastAsia="Arial" w:hAnsi="Arial" w:cs="Arial"/>
          <w:b/>
          <w:sz w:val="24"/>
          <w:szCs w:val="24"/>
        </w:rPr>
      </w:pPr>
    </w:p>
    <w:p w:rsidR="007412EE" w:rsidRDefault="007412EE" w:rsidP="007412EE">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7412EE"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BE43F9" w:rsidRDefault="007412EE"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BE43F9" w:rsidRDefault="007412EE"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7412EE"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6A0A17" w:rsidRDefault="007412EE" w:rsidP="007412E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14" w:hanging="425"/>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163A" w:rsidRPr="006A0A17" w:rsidRDefault="006A163A" w:rsidP="00C35750">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Emergency Operations Center is already activated to monitor the possible effects of TD Falcon.</w:t>
            </w:r>
          </w:p>
          <w:p w:rsidR="006A163A" w:rsidRPr="006A0A17" w:rsidRDefault="00BE43F3" w:rsidP="00C35750">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 xml:space="preserve">DSWD-FO CALABARZON through the Disaster Response Management Division (DRMD) </w:t>
            </w:r>
            <w:r w:rsidR="006A163A" w:rsidRPr="006A0A17">
              <w:rPr>
                <w:rFonts w:ascii="Arial" w:eastAsia="Arial" w:hAnsi="Arial" w:cs="Arial"/>
                <w:color w:val="auto"/>
                <w:sz w:val="24"/>
                <w:szCs w:val="24"/>
              </w:rPr>
              <w:t>is constantly coordinating with the Local Social Welfare and Development Offices (LSWDOs) with pre-disaster assessments being conducted.</w:t>
            </w:r>
          </w:p>
          <w:p w:rsidR="006A163A" w:rsidRPr="006A0A17" w:rsidRDefault="006A163A" w:rsidP="00C35750">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in close coordination with LGUs with regards to the preparedness efforts undertaken in the Flood, Landslide and Storm Surge prone areas.</w:t>
            </w:r>
          </w:p>
          <w:p w:rsidR="007412EE" w:rsidRPr="006A0A17" w:rsidRDefault="00BE43F3" w:rsidP="00BE43F3">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continuously coordinating with SWAD Team Leaders and Provincial Action Team of CALABARZON Provinces and advised them to coordinate with LGUs to gather reports on the possible effects of TD Falcon.</w:t>
            </w:r>
          </w:p>
        </w:tc>
      </w:tr>
    </w:tbl>
    <w:p w:rsidR="007412EE" w:rsidRDefault="007412EE"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F67130" w:rsidRDefault="004B7668" w:rsidP="000103C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w:t>
            </w:r>
            <w:r w:rsidR="00150E80" w:rsidRPr="00F67130">
              <w:rPr>
                <w:rFonts w:ascii="Arial" w:hAnsi="Arial" w:cs="Arial"/>
                <w:color w:val="000000" w:themeColor="text1"/>
                <w:sz w:val="24"/>
                <w:szCs w:val="24"/>
              </w:rPr>
              <w:t>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Default="004B7668"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sidR="00F67130">
              <w:rPr>
                <w:rFonts w:ascii="Arial" w:eastAsia="Arial" w:hAnsi="Arial" w:cs="Arial"/>
                <w:sz w:val="24"/>
                <w:szCs w:val="24"/>
              </w:rPr>
              <w:t>MIMAROPA</w:t>
            </w:r>
            <w:r w:rsidR="000D3D3E">
              <w:rPr>
                <w:rFonts w:ascii="Arial" w:eastAsia="Arial" w:hAnsi="Arial" w:cs="Arial"/>
                <w:sz w:val="24"/>
                <w:szCs w:val="24"/>
              </w:rPr>
              <w:t xml:space="preserve"> through </w:t>
            </w:r>
            <w:r w:rsidR="008C5268">
              <w:rPr>
                <w:rFonts w:ascii="Arial" w:eastAsia="Arial" w:hAnsi="Arial" w:cs="Arial"/>
                <w:sz w:val="24"/>
                <w:szCs w:val="24"/>
              </w:rPr>
              <w:t xml:space="preserve">the </w:t>
            </w:r>
            <w:r w:rsidR="000D3D3E" w:rsidRPr="000D3D3E">
              <w:rPr>
                <w:rFonts w:ascii="Arial" w:eastAsia="Arial" w:hAnsi="Arial" w:cs="Arial"/>
                <w:sz w:val="24"/>
                <w:szCs w:val="24"/>
              </w:rPr>
              <w:t>Disaster Response Management Division</w:t>
            </w:r>
            <w:r w:rsidR="000D3D3E">
              <w:rPr>
                <w:rFonts w:ascii="Arial" w:eastAsia="Arial" w:hAnsi="Arial" w:cs="Arial"/>
                <w:sz w:val="24"/>
                <w:szCs w:val="24"/>
              </w:rPr>
              <w:t xml:space="preserve"> </w:t>
            </w:r>
            <w:r w:rsidR="008C5268">
              <w:rPr>
                <w:rFonts w:ascii="Arial" w:eastAsia="Arial" w:hAnsi="Arial" w:cs="Arial"/>
                <w:sz w:val="24"/>
                <w:szCs w:val="24"/>
              </w:rPr>
              <w:t>ensures an on-</w:t>
            </w:r>
            <w:r w:rsidR="00F67130" w:rsidRPr="00F67130">
              <w:rPr>
                <w:rFonts w:ascii="Arial" w:eastAsia="Arial" w:hAnsi="Arial" w:cs="Arial"/>
                <w:sz w:val="24"/>
                <w:szCs w:val="24"/>
              </w:rPr>
              <w:t>call and standby</w:t>
            </w:r>
            <w:r w:rsidR="00F67130">
              <w:rPr>
                <w:rFonts w:ascii="Arial" w:eastAsia="Arial" w:hAnsi="Arial" w:cs="Arial"/>
                <w:sz w:val="24"/>
                <w:szCs w:val="24"/>
              </w:rPr>
              <w:t xml:space="preserve"> </w:t>
            </w:r>
            <w:r w:rsidR="00F67130" w:rsidRPr="00F67130">
              <w:rPr>
                <w:rFonts w:ascii="Arial" w:eastAsia="Arial" w:hAnsi="Arial" w:cs="Arial"/>
                <w:sz w:val="24"/>
                <w:szCs w:val="24"/>
              </w:rPr>
              <w:t xml:space="preserve">duty </w:t>
            </w:r>
            <w:r w:rsidR="008C5268">
              <w:rPr>
                <w:rFonts w:ascii="Arial" w:eastAsia="Arial" w:hAnsi="Arial" w:cs="Arial"/>
                <w:sz w:val="24"/>
                <w:szCs w:val="24"/>
              </w:rPr>
              <w:t xml:space="preserve">of the R/P/C/M Quick Response Teams </w:t>
            </w:r>
            <w:r w:rsidR="00814CFB">
              <w:rPr>
                <w:rFonts w:ascii="Arial" w:eastAsia="Arial" w:hAnsi="Arial" w:cs="Arial"/>
                <w:sz w:val="24"/>
                <w:szCs w:val="24"/>
              </w:rPr>
              <w:t>for possible activation of Operations Center.</w:t>
            </w:r>
          </w:p>
          <w:p w:rsidR="00814CFB"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All members of Rapid Emergency Telecommunications Team are on standby status ready for deployment if needed.</w:t>
            </w:r>
          </w:p>
          <w:p w:rsidR="00814CFB"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814CFB">
              <w:rPr>
                <w:rFonts w:ascii="Arial" w:eastAsia="Arial" w:hAnsi="Arial" w:cs="Arial"/>
                <w:sz w:val="24"/>
                <w:szCs w:val="24"/>
              </w:rPr>
              <w:t xml:space="preserve"> ensures that relief goods are readily available for distribution.</w:t>
            </w:r>
          </w:p>
          <w:p w:rsidR="000D3D3E"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0D3D3E">
              <w:rPr>
                <w:rFonts w:ascii="Arial" w:eastAsia="Arial" w:hAnsi="Arial" w:cs="Arial"/>
                <w:sz w:val="24"/>
                <w:szCs w:val="24"/>
              </w:rPr>
              <w:t xml:space="preserve"> is </w:t>
            </w:r>
            <w:r>
              <w:rPr>
                <w:rFonts w:ascii="Arial" w:eastAsia="Arial" w:hAnsi="Arial" w:cs="Arial"/>
                <w:sz w:val="24"/>
                <w:szCs w:val="24"/>
              </w:rPr>
              <w:t xml:space="preserve">in </w:t>
            </w:r>
            <w:r w:rsidR="000D3D3E">
              <w:rPr>
                <w:rFonts w:ascii="Arial" w:eastAsia="Arial" w:hAnsi="Arial" w:cs="Arial"/>
                <w:sz w:val="24"/>
                <w:szCs w:val="24"/>
              </w:rPr>
              <w:t>c</w:t>
            </w:r>
            <w:r w:rsidR="000D3D3E" w:rsidRPr="000D3D3E">
              <w:rPr>
                <w:rFonts w:ascii="Arial" w:eastAsia="Arial" w:hAnsi="Arial" w:cs="Arial"/>
                <w:sz w:val="24"/>
                <w:szCs w:val="24"/>
              </w:rPr>
              <w:t>lose coordination with the Office of Civil Defense (OCD) and RDRRMC</w:t>
            </w:r>
            <w:r w:rsidR="000D3D3E">
              <w:rPr>
                <w:rFonts w:ascii="Arial" w:eastAsia="Arial" w:hAnsi="Arial" w:cs="Arial"/>
                <w:sz w:val="24"/>
                <w:szCs w:val="24"/>
              </w:rPr>
              <w:t xml:space="preserve"> </w:t>
            </w:r>
            <w:r w:rsidR="000D3D3E"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000D3D3E" w:rsidRPr="000D3D3E">
              <w:rPr>
                <w:rFonts w:ascii="Arial" w:eastAsia="Arial" w:hAnsi="Arial" w:cs="Arial"/>
                <w:sz w:val="24"/>
                <w:szCs w:val="24"/>
              </w:rPr>
              <w:t xml:space="preserve">response </w:t>
            </w:r>
            <w:r>
              <w:rPr>
                <w:rFonts w:ascii="Arial" w:eastAsia="Arial" w:hAnsi="Arial" w:cs="Arial"/>
                <w:sz w:val="24"/>
                <w:szCs w:val="24"/>
              </w:rPr>
              <w:t xml:space="preserve">to the </w:t>
            </w:r>
            <w:r w:rsidR="000D3D3E" w:rsidRPr="000D3D3E">
              <w:rPr>
                <w:rFonts w:ascii="Arial" w:eastAsia="Arial" w:hAnsi="Arial" w:cs="Arial"/>
                <w:sz w:val="24"/>
                <w:szCs w:val="24"/>
              </w:rPr>
              <w:t>areas that will be affected.</w:t>
            </w:r>
          </w:p>
        </w:tc>
      </w:tr>
    </w:tbl>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sidR="00814CFB">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w:t>
            </w:r>
            <w:r w:rsidR="00814CFB">
              <w:rPr>
                <w:rFonts w:ascii="Arial" w:eastAsia="Arial" w:hAnsi="Arial" w:cs="Arial"/>
                <w:sz w:val="24"/>
                <w:szCs w:val="24"/>
              </w:rPr>
              <w:t xml:space="preserve">from the field. </w:t>
            </w:r>
          </w:p>
          <w:p w:rsidR="000D3D3E" w:rsidRPr="000D3D3E"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000D3D3E" w:rsidRPr="000D3D3E">
              <w:rPr>
                <w:rFonts w:ascii="Arial" w:eastAsia="Arial" w:hAnsi="Arial" w:cs="Arial"/>
                <w:sz w:val="24"/>
                <w:szCs w:val="24"/>
              </w:rPr>
              <w:t>PAT and MAT members in the 6 provinces are on standby and to coordinate with</w:t>
            </w:r>
            <w:r w:rsidR="000D3D3E">
              <w:rPr>
                <w:rFonts w:ascii="Arial" w:eastAsia="Arial" w:hAnsi="Arial" w:cs="Arial"/>
                <w:sz w:val="24"/>
                <w:szCs w:val="24"/>
              </w:rPr>
              <w:t xml:space="preserve"> </w:t>
            </w:r>
            <w:r w:rsidR="000D3D3E" w:rsidRPr="000D3D3E">
              <w:rPr>
                <w:rFonts w:ascii="Arial" w:eastAsia="Arial" w:hAnsi="Arial" w:cs="Arial"/>
                <w:sz w:val="24"/>
                <w:szCs w:val="24"/>
              </w:rPr>
              <w:t>the P/MDRRMOs for status reports and updates.</w:t>
            </w:r>
          </w:p>
        </w:tc>
      </w:tr>
    </w:tbl>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5EE2"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9A5EE2">
              <w:rPr>
                <w:rFonts w:ascii="Arial" w:eastAsia="Arial" w:hAnsi="Arial" w:cs="Arial"/>
                <w:sz w:val="24"/>
                <w:szCs w:val="24"/>
              </w:rPr>
              <w:t>has a total of 19,181 readily available family food packs.</w:t>
            </w:r>
          </w:p>
          <w:p w:rsidR="009A5EE2"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Response Team as</w:t>
            </w:r>
            <w:r w:rsidRPr="00D164A6">
              <w:rPr>
                <w:rFonts w:ascii="Arial" w:eastAsia="Arial" w:hAnsi="Arial" w:cs="Arial"/>
                <w:sz w:val="24"/>
                <w:szCs w:val="24"/>
              </w:rPr>
              <w:t xml:space="preserve"> “On-Call Duty”</w:t>
            </w:r>
          </w:p>
          <w:p w:rsidR="000D3D3E" w:rsidRPr="00D164A6"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D164A6">
              <w:rPr>
                <w:rFonts w:ascii="Arial" w:eastAsia="Arial" w:hAnsi="Arial" w:cs="Arial"/>
                <w:sz w:val="24"/>
                <w:szCs w:val="24"/>
              </w:rPr>
              <w:t>is closely coordinating</w:t>
            </w:r>
            <w:r w:rsidR="000D3D3E">
              <w:rPr>
                <w:rFonts w:ascii="Arial" w:eastAsia="Arial" w:hAnsi="Arial" w:cs="Arial"/>
                <w:sz w:val="24"/>
                <w:szCs w:val="24"/>
              </w:rPr>
              <w:t xml:space="preserve"> </w:t>
            </w:r>
            <w:r>
              <w:rPr>
                <w:rFonts w:ascii="Arial" w:eastAsia="Arial" w:hAnsi="Arial" w:cs="Arial"/>
                <w:sz w:val="24"/>
                <w:szCs w:val="24"/>
              </w:rPr>
              <w:t xml:space="preserve">with all SWADOs and </w:t>
            </w:r>
            <w:r w:rsidR="000D3D3E" w:rsidRPr="000D3D3E">
              <w:rPr>
                <w:rFonts w:ascii="Arial" w:eastAsia="Arial" w:hAnsi="Arial" w:cs="Arial"/>
                <w:sz w:val="24"/>
                <w:szCs w:val="24"/>
              </w:rPr>
              <w:t>PSWDOs/CSWDO/MSWDOs for</w:t>
            </w:r>
            <w:r w:rsidR="00D164A6">
              <w:rPr>
                <w:rFonts w:ascii="Arial" w:eastAsia="Arial" w:hAnsi="Arial" w:cs="Arial"/>
                <w:sz w:val="24"/>
                <w:szCs w:val="24"/>
              </w:rPr>
              <w:t xml:space="preserve"> </w:t>
            </w:r>
            <w:r>
              <w:rPr>
                <w:rFonts w:ascii="Arial" w:eastAsia="Arial" w:hAnsi="Arial" w:cs="Arial"/>
                <w:sz w:val="24"/>
                <w:szCs w:val="24"/>
              </w:rPr>
              <w:t>monitoring of the situation</w:t>
            </w:r>
            <w:r w:rsidR="000D3D3E"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D164A6" w:rsidRPr="009A5EE2" w:rsidRDefault="00D164A6"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sidR="009A5EE2">
              <w:rPr>
                <w:rFonts w:ascii="Arial" w:eastAsia="Arial" w:hAnsi="Arial" w:cs="Arial"/>
                <w:sz w:val="24"/>
                <w:szCs w:val="24"/>
              </w:rPr>
              <w:t>.</w:t>
            </w:r>
          </w:p>
        </w:tc>
      </w:tr>
    </w:tbl>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C05EFA">
        <w:rPr>
          <w:rFonts w:ascii="Arial" w:eastAsia="Arial" w:hAnsi="Arial" w:cs="Arial"/>
          <w:i/>
          <w:sz w:val="20"/>
          <w:szCs w:val="20"/>
        </w:rPr>
        <w:t>S</w:t>
      </w:r>
      <w:bookmarkStart w:id="9" w:name="_GoBack"/>
      <w:bookmarkEnd w:id="9"/>
      <w:r w:rsidR="00B14C94">
        <w:rPr>
          <w:rFonts w:ascii="Arial" w:eastAsia="Arial" w:hAnsi="Arial" w:cs="Arial"/>
          <w:i/>
          <w:sz w:val="20"/>
          <w:szCs w:val="20"/>
        </w:rPr>
        <w:t xml:space="preserve"> </w:t>
      </w:r>
      <w:r w:rsidR="009A5EE2">
        <w:rPr>
          <w:rFonts w:ascii="Arial" w:eastAsia="Arial" w:hAnsi="Arial" w:cs="Arial"/>
          <w:i/>
          <w:sz w:val="20"/>
          <w:szCs w:val="20"/>
        </w:rPr>
        <w:t xml:space="preserve">Falcon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FC7329"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C05EFA" w:rsidRDefault="00C05EFA" w:rsidP="00816A95">
      <w:pPr>
        <w:spacing w:after="0" w:line="240" w:lineRule="auto"/>
        <w:contextualSpacing/>
        <w:rPr>
          <w:rFonts w:ascii="Arial" w:eastAsia="Arial" w:hAnsi="Arial" w:cs="Arial"/>
          <w:b/>
          <w:sz w:val="24"/>
          <w:szCs w:val="24"/>
        </w:rPr>
      </w:pPr>
    </w:p>
    <w:p w:rsidR="004B7668" w:rsidRDefault="00C05EFA" w:rsidP="00816A95">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FC7329" w:rsidP="00816A95">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2"/>
      <w:footerReference w:type="default" r:id="rId13"/>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AE" w:rsidRDefault="00E454AE">
      <w:pPr>
        <w:spacing w:after="0" w:line="240" w:lineRule="auto"/>
      </w:pPr>
      <w:r>
        <w:separator/>
      </w:r>
    </w:p>
  </w:endnote>
  <w:endnote w:type="continuationSeparator" w:id="0">
    <w:p w:rsidR="00E454AE" w:rsidRDefault="00E4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D22211">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05EFA">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05EFA">
      <w:rPr>
        <w:b/>
        <w:noProof/>
        <w:sz w:val="16"/>
        <w:szCs w:val="16"/>
      </w:rPr>
      <w:t>7</w:t>
    </w:r>
    <w:r>
      <w:rPr>
        <w:b/>
        <w:sz w:val="16"/>
        <w:szCs w:val="16"/>
      </w:rPr>
      <w:fldChar w:fldCharType="end"/>
    </w:r>
    <w:r>
      <w:rPr>
        <w:sz w:val="16"/>
        <w:szCs w:val="16"/>
      </w:rPr>
      <w:t xml:space="preserve">| </w:t>
    </w:r>
    <w:r w:rsidR="00D22211" w:rsidRPr="00D22211">
      <w:rPr>
        <w:rFonts w:ascii="Arial" w:eastAsia="Arial" w:hAnsi="Arial" w:cs="Arial"/>
        <w:sz w:val="16"/>
        <w:szCs w:val="16"/>
      </w:rPr>
      <w:t>DSWD DROMIC Prepared</w:t>
    </w:r>
    <w:r w:rsidR="007412EE">
      <w:rPr>
        <w:rFonts w:ascii="Arial" w:eastAsia="Arial" w:hAnsi="Arial" w:cs="Arial"/>
        <w:sz w:val="16"/>
        <w:szCs w:val="16"/>
      </w:rPr>
      <w:t>ness for Response Report #</w:t>
    </w:r>
    <w:r w:rsidR="00FC7329">
      <w:rPr>
        <w:rFonts w:ascii="Arial" w:eastAsia="Arial" w:hAnsi="Arial" w:cs="Arial"/>
        <w:sz w:val="16"/>
        <w:szCs w:val="16"/>
      </w:rPr>
      <w:t>3</w:t>
    </w:r>
    <w:r w:rsidR="00D22211">
      <w:rPr>
        <w:rFonts w:ascii="Arial" w:eastAsia="Arial" w:hAnsi="Arial" w:cs="Arial"/>
        <w:sz w:val="16"/>
        <w:szCs w:val="16"/>
      </w:rPr>
      <w:t xml:space="preserve"> on Tropical </w:t>
    </w:r>
    <w:r w:rsidR="00FC7329">
      <w:rPr>
        <w:rFonts w:ascii="Arial" w:eastAsia="Arial" w:hAnsi="Arial" w:cs="Arial"/>
        <w:sz w:val="16"/>
        <w:szCs w:val="16"/>
      </w:rPr>
      <w:t>Storm</w:t>
    </w:r>
    <w:r w:rsidR="00D22211">
      <w:rPr>
        <w:rFonts w:ascii="Arial" w:eastAsia="Arial" w:hAnsi="Arial" w:cs="Arial"/>
        <w:sz w:val="16"/>
        <w:szCs w:val="16"/>
      </w:rPr>
      <w:t xml:space="preserve"> “FALCON” </w:t>
    </w:r>
    <w:r w:rsidR="007412EE">
      <w:rPr>
        <w:rFonts w:ascii="Arial" w:eastAsia="Arial" w:hAnsi="Arial" w:cs="Arial"/>
        <w:sz w:val="16"/>
        <w:szCs w:val="16"/>
      </w:rPr>
      <w:t>as of 1</w:t>
    </w:r>
    <w:r w:rsidR="00FC7329">
      <w:rPr>
        <w:rFonts w:ascii="Arial" w:eastAsia="Arial" w:hAnsi="Arial" w:cs="Arial"/>
        <w:sz w:val="16"/>
        <w:szCs w:val="16"/>
      </w:rPr>
      <w:t>7</w:t>
    </w:r>
    <w:r w:rsidR="007412EE">
      <w:rPr>
        <w:rFonts w:ascii="Arial" w:eastAsia="Arial" w:hAnsi="Arial" w:cs="Arial"/>
        <w:sz w:val="16"/>
        <w:szCs w:val="16"/>
      </w:rPr>
      <w:t xml:space="preserve"> July 2019, 6</w:t>
    </w:r>
    <w:r w:rsidR="00FC7329">
      <w:rPr>
        <w:rFonts w:ascii="Arial" w:eastAsia="Arial" w:hAnsi="Arial" w:cs="Arial"/>
        <w:sz w:val="16"/>
        <w:szCs w:val="16"/>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AE" w:rsidRDefault="00E454AE">
      <w:pPr>
        <w:spacing w:after="0" w:line="240" w:lineRule="auto"/>
      </w:pPr>
      <w:r>
        <w:separator/>
      </w:r>
    </w:p>
  </w:footnote>
  <w:footnote w:type="continuationSeparator" w:id="0">
    <w:p w:rsidR="00E454AE" w:rsidRDefault="00E4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10"/>
  </w:num>
  <w:num w:numId="6">
    <w:abstractNumId w:val="1"/>
  </w:num>
  <w:num w:numId="7">
    <w:abstractNumId w:val="4"/>
  </w:num>
  <w:num w:numId="8">
    <w:abstractNumId w:val="6"/>
  </w:num>
  <w:num w:numId="9">
    <w:abstractNumId w:val="2"/>
  </w:num>
  <w:num w:numId="10">
    <w:abstractNumId w:val="11"/>
  </w:num>
  <w:num w:numId="11">
    <w:abstractNumId w:val="5"/>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59C0"/>
    <w:rsid w:val="000362A4"/>
    <w:rsid w:val="000408C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D3D3E"/>
    <w:rsid w:val="000E09D8"/>
    <w:rsid w:val="000E381D"/>
    <w:rsid w:val="000F10AC"/>
    <w:rsid w:val="000F1F6C"/>
    <w:rsid w:val="000F3578"/>
    <w:rsid w:val="000F4C6D"/>
    <w:rsid w:val="000F5D46"/>
    <w:rsid w:val="00103A30"/>
    <w:rsid w:val="00110F51"/>
    <w:rsid w:val="00114D5E"/>
    <w:rsid w:val="00117E58"/>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09E8"/>
    <w:rsid w:val="001E1043"/>
    <w:rsid w:val="001E26B4"/>
    <w:rsid w:val="001F0789"/>
    <w:rsid w:val="0020030B"/>
    <w:rsid w:val="00203164"/>
    <w:rsid w:val="002057CB"/>
    <w:rsid w:val="002063ED"/>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2EC9"/>
    <w:rsid w:val="002C1E7D"/>
    <w:rsid w:val="002C224F"/>
    <w:rsid w:val="002D3418"/>
    <w:rsid w:val="002E25AE"/>
    <w:rsid w:val="002F0FA9"/>
    <w:rsid w:val="002F5178"/>
    <w:rsid w:val="002F713F"/>
    <w:rsid w:val="003052AD"/>
    <w:rsid w:val="00305764"/>
    <w:rsid w:val="003152F8"/>
    <w:rsid w:val="00317493"/>
    <w:rsid w:val="00321421"/>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C3182"/>
    <w:rsid w:val="004C5385"/>
    <w:rsid w:val="004C55DA"/>
    <w:rsid w:val="004D1392"/>
    <w:rsid w:val="004E2DCF"/>
    <w:rsid w:val="004F27B7"/>
    <w:rsid w:val="004F68F5"/>
    <w:rsid w:val="005073A3"/>
    <w:rsid w:val="005101BD"/>
    <w:rsid w:val="0051518E"/>
    <w:rsid w:val="005156DC"/>
    <w:rsid w:val="00515F7A"/>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A17"/>
    <w:rsid w:val="006A0D27"/>
    <w:rsid w:val="006A163A"/>
    <w:rsid w:val="006A5D7C"/>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12EE"/>
    <w:rsid w:val="00742851"/>
    <w:rsid w:val="0074516B"/>
    <w:rsid w:val="00752F0C"/>
    <w:rsid w:val="007567CA"/>
    <w:rsid w:val="007650E4"/>
    <w:rsid w:val="00765610"/>
    <w:rsid w:val="0077257F"/>
    <w:rsid w:val="00773A7E"/>
    <w:rsid w:val="00774B9D"/>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05EFA"/>
    <w:rsid w:val="00C15DBE"/>
    <w:rsid w:val="00C33267"/>
    <w:rsid w:val="00C36108"/>
    <w:rsid w:val="00C43BDA"/>
    <w:rsid w:val="00C455D0"/>
    <w:rsid w:val="00C47CBF"/>
    <w:rsid w:val="00C53D82"/>
    <w:rsid w:val="00C60386"/>
    <w:rsid w:val="00C62B62"/>
    <w:rsid w:val="00C63453"/>
    <w:rsid w:val="00C6532B"/>
    <w:rsid w:val="00C67BB2"/>
    <w:rsid w:val="00C768F0"/>
    <w:rsid w:val="00C808CE"/>
    <w:rsid w:val="00C80F6B"/>
    <w:rsid w:val="00C817F8"/>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2211"/>
    <w:rsid w:val="00D278C1"/>
    <w:rsid w:val="00D307D8"/>
    <w:rsid w:val="00D325D1"/>
    <w:rsid w:val="00D368FB"/>
    <w:rsid w:val="00D43941"/>
    <w:rsid w:val="00D46740"/>
    <w:rsid w:val="00D56765"/>
    <w:rsid w:val="00D63FBA"/>
    <w:rsid w:val="00D65554"/>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3166"/>
    <w:rsid w:val="00E060F9"/>
    <w:rsid w:val="00E238AB"/>
    <w:rsid w:val="00E25AF1"/>
    <w:rsid w:val="00E31118"/>
    <w:rsid w:val="00E32DE0"/>
    <w:rsid w:val="00E44A97"/>
    <w:rsid w:val="00E454AE"/>
    <w:rsid w:val="00E477DA"/>
    <w:rsid w:val="00E47B18"/>
    <w:rsid w:val="00E50999"/>
    <w:rsid w:val="00E5517C"/>
    <w:rsid w:val="00E56A7A"/>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3E3B"/>
    <w:rsid w:val="00F26583"/>
    <w:rsid w:val="00F31F0A"/>
    <w:rsid w:val="00F34CE0"/>
    <w:rsid w:val="00F34EA4"/>
    <w:rsid w:val="00F35454"/>
    <w:rsid w:val="00F379F8"/>
    <w:rsid w:val="00F4079B"/>
    <w:rsid w:val="00F42732"/>
    <w:rsid w:val="00F444E9"/>
    <w:rsid w:val="00F55241"/>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C7329"/>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C42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BB9C-2D35-49D2-A899-1CA6BD4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3</cp:revision>
  <dcterms:created xsi:type="dcterms:W3CDTF">2019-07-16T22:02:00Z</dcterms:created>
  <dcterms:modified xsi:type="dcterms:W3CDTF">2019-07-16T22:04:00Z</dcterms:modified>
</cp:coreProperties>
</file>