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1510" w:rsidRDefault="00172936" w:rsidP="00DD15A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D15AE">
        <w:rPr>
          <w:rFonts w:ascii="Arial" w:eastAsia="Arial" w:hAnsi="Arial" w:cs="Arial"/>
          <w:b/>
          <w:sz w:val="32"/>
          <w:szCs w:val="24"/>
        </w:rPr>
        <w:t>Armed Conflict</w:t>
      </w:r>
    </w:p>
    <w:p w:rsidR="00172936" w:rsidRPr="007D3BCE" w:rsidRDefault="00172936" w:rsidP="00DD15A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3C6497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471B4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71B44">
        <w:rPr>
          <w:rFonts w:ascii="Arial" w:eastAsia="Arial" w:hAnsi="Arial" w:cs="Arial"/>
          <w:b/>
          <w:sz w:val="32"/>
          <w:szCs w:val="24"/>
        </w:rPr>
        <w:t>. Loyal, Victoria, Oriental Mindoro</w:t>
      </w:r>
    </w:p>
    <w:p w:rsidR="00B10486" w:rsidRDefault="00172936" w:rsidP="00DD15A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471B44">
        <w:rPr>
          <w:rFonts w:ascii="Arial" w:eastAsia="Arial" w:hAnsi="Arial" w:cs="Arial"/>
          <w:sz w:val="24"/>
          <w:szCs w:val="24"/>
        </w:rPr>
        <w:t>13</w:t>
      </w:r>
      <w:r w:rsidR="003C6497">
        <w:rPr>
          <w:rFonts w:ascii="Arial" w:eastAsia="Arial" w:hAnsi="Arial" w:cs="Arial"/>
          <w:sz w:val="24"/>
          <w:szCs w:val="24"/>
        </w:rPr>
        <w:t xml:space="preserve"> </w:t>
      </w:r>
      <w:r w:rsidR="00727489">
        <w:rPr>
          <w:rFonts w:ascii="Arial" w:eastAsia="Arial" w:hAnsi="Arial" w:cs="Arial"/>
          <w:sz w:val="24"/>
          <w:szCs w:val="24"/>
        </w:rPr>
        <w:t>July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4E603C">
        <w:rPr>
          <w:rFonts w:ascii="Arial" w:eastAsia="Arial" w:hAnsi="Arial" w:cs="Arial"/>
          <w:sz w:val="24"/>
          <w:szCs w:val="24"/>
        </w:rPr>
        <w:t>4</w:t>
      </w:r>
      <w:r w:rsidR="007C6AE4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DD15A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92959" w:rsidRDefault="007C6AE4" w:rsidP="00DD15A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On </w:t>
      </w:r>
      <w:r w:rsidR="00471B44">
        <w:rPr>
          <w:rFonts w:ascii="Arial" w:hAnsi="Arial" w:cs="Arial"/>
          <w:shd w:val="clear" w:color="auto" w:fill="FFFFFF"/>
        </w:rPr>
        <w:t>03</w:t>
      </w:r>
      <w:r>
        <w:rPr>
          <w:rFonts w:ascii="Arial" w:hAnsi="Arial" w:cs="Arial"/>
          <w:shd w:val="clear" w:color="auto" w:fill="FFFFFF"/>
        </w:rPr>
        <w:t xml:space="preserve"> </w:t>
      </w:r>
      <w:r w:rsidR="00471B44">
        <w:rPr>
          <w:rFonts w:ascii="Arial" w:hAnsi="Arial" w:cs="Arial"/>
          <w:shd w:val="clear" w:color="auto" w:fill="FFFFFF"/>
        </w:rPr>
        <w:t>July</w:t>
      </w:r>
      <w:r>
        <w:rPr>
          <w:rFonts w:ascii="Arial" w:hAnsi="Arial" w:cs="Arial"/>
          <w:shd w:val="clear" w:color="auto" w:fill="FFFFFF"/>
        </w:rPr>
        <w:t xml:space="preserve"> 2019</w:t>
      </w:r>
      <w:r w:rsidR="00727489">
        <w:rPr>
          <w:rFonts w:ascii="Arial" w:hAnsi="Arial" w:cs="Arial"/>
          <w:color w:val="222222"/>
          <w:shd w:val="clear" w:color="auto" w:fill="FFFFFF"/>
        </w:rPr>
        <w:t> </w:t>
      </w:r>
      <w:r w:rsidR="00DD15AE">
        <w:rPr>
          <w:rFonts w:ascii="Arial" w:hAnsi="Arial" w:cs="Arial"/>
          <w:color w:val="222222"/>
          <w:shd w:val="clear" w:color="auto" w:fill="FFFFFF"/>
        </w:rPr>
        <w:t xml:space="preserve">at around </w:t>
      </w:r>
      <w:r w:rsidR="00471B44">
        <w:rPr>
          <w:rFonts w:ascii="Arial" w:hAnsi="Arial" w:cs="Arial"/>
          <w:color w:val="222222"/>
          <w:shd w:val="clear" w:color="auto" w:fill="FFFFFF"/>
        </w:rPr>
        <w:t>11:50 AM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C70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7489">
        <w:rPr>
          <w:rFonts w:ascii="Arial" w:hAnsi="Arial" w:cs="Arial"/>
          <w:color w:val="222222"/>
          <w:shd w:val="clear" w:color="auto" w:fill="FFFFFF"/>
        </w:rPr>
        <w:t>an encounter occurred</w:t>
      </w:r>
      <w:r>
        <w:rPr>
          <w:rFonts w:ascii="Arial" w:hAnsi="Arial" w:cs="Arial"/>
          <w:shd w:val="clear" w:color="auto" w:fill="FFFFFF"/>
        </w:rPr>
        <w:t> between</w:t>
      </w:r>
      <w:r w:rsidR="003C7043">
        <w:rPr>
          <w:rFonts w:ascii="Arial" w:hAnsi="Arial" w:cs="Arial"/>
          <w:shd w:val="clear" w:color="auto" w:fill="FFFFFF"/>
        </w:rPr>
        <w:t xml:space="preserve"> </w:t>
      </w:r>
      <w:r w:rsidR="00471B44">
        <w:rPr>
          <w:rFonts w:ascii="Arial" w:hAnsi="Arial" w:cs="Arial"/>
          <w:shd w:val="clear" w:color="auto" w:fill="FFFFFF"/>
        </w:rPr>
        <w:t>Communist New People’s Army Terrorists (CNTs)</w:t>
      </w:r>
      <w:r>
        <w:rPr>
          <w:rFonts w:ascii="Arial" w:hAnsi="Arial" w:cs="Arial"/>
          <w:shd w:val="clear" w:color="auto" w:fill="FFFFFF"/>
        </w:rPr>
        <w:t xml:space="preserve"> and </w:t>
      </w:r>
      <w:r w:rsidR="00471B44">
        <w:rPr>
          <w:rFonts w:ascii="Arial" w:hAnsi="Arial" w:cs="Arial"/>
          <w:shd w:val="clear" w:color="auto" w:fill="FFFFFF"/>
        </w:rPr>
        <w:t>units of Philippine National Police (PNP) from the Oriental Mindoro Police Provincial Office</w:t>
      </w:r>
      <w:r w:rsidR="00292959">
        <w:rPr>
          <w:rFonts w:ascii="Arial" w:hAnsi="Arial" w:cs="Arial"/>
          <w:shd w:val="clear" w:color="auto" w:fill="FFFFFF"/>
        </w:rPr>
        <w:t xml:space="preserve"> </w:t>
      </w:r>
      <w:r w:rsidR="00A23101">
        <w:rPr>
          <w:rFonts w:ascii="Arial" w:hAnsi="Arial" w:cs="Arial"/>
          <w:shd w:val="clear" w:color="auto" w:fill="FFFFFF"/>
        </w:rPr>
        <w:t>in</w:t>
      </w:r>
      <w:r w:rsidR="007274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71B44">
        <w:rPr>
          <w:rFonts w:ascii="Arial" w:hAnsi="Arial" w:cs="Arial"/>
          <w:shd w:val="clear" w:color="auto" w:fill="FFFFFF"/>
        </w:rPr>
        <w:t>Sitio</w:t>
      </w:r>
      <w:proofErr w:type="spellEnd"/>
      <w:r w:rsidR="00471B4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71B44">
        <w:rPr>
          <w:rFonts w:ascii="Arial" w:hAnsi="Arial" w:cs="Arial"/>
          <w:shd w:val="clear" w:color="auto" w:fill="FFFFFF"/>
        </w:rPr>
        <w:t>Pamuwisan</w:t>
      </w:r>
      <w:proofErr w:type="spellEnd"/>
      <w:r w:rsidR="00471B4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471B44">
        <w:rPr>
          <w:rFonts w:ascii="Arial" w:hAnsi="Arial" w:cs="Arial"/>
          <w:shd w:val="clear" w:color="auto" w:fill="FFFFFF"/>
        </w:rPr>
        <w:t>Brgy</w:t>
      </w:r>
      <w:proofErr w:type="spellEnd"/>
      <w:r w:rsidR="00471B44">
        <w:rPr>
          <w:rFonts w:ascii="Arial" w:hAnsi="Arial" w:cs="Arial"/>
          <w:shd w:val="clear" w:color="auto" w:fill="FFFFFF"/>
        </w:rPr>
        <w:t>. Loyal, Victoria, Oriental Mindoro.</w:t>
      </w:r>
    </w:p>
    <w:p w:rsidR="00CB218A" w:rsidRPr="00292959" w:rsidRDefault="004E603C" w:rsidP="00DD15AE">
      <w:pPr>
        <w:spacing w:after="0" w:line="240" w:lineRule="auto"/>
        <w:contextualSpacing/>
        <w:jc w:val="right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:rsidR="00DD15AE" w:rsidRDefault="00DD15AE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DD15A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D15A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3C6497" w:rsidP="00DD15A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E5B75">
        <w:rPr>
          <w:rFonts w:ascii="Arial" w:eastAsia="Arial" w:hAnsi="Arial" w:cs="Arial"/>
          <w:b/>
          <w:color w:val="0070C0"/>
          <w:sz w:val="24"/>
          <w:szCs w:val="24"/>
        </w:rPr>
        <w:t>413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E5B75">
        <w:rPr>
          <w:rFonts w:ascii="Arial" w:eastAsia="Arial" w:hAnsi="Arial" w:cs="Arial"/>
          <w:b/>
          <w:color w:val="0070C0"/>
          <w:sz w:val="24"/>
          <w:szCs w:val="24"/>
        </w:rPr>
        <w:t>1,751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15AE">
        <w:rPr>
          <w:rFonts w:ascii="Arial" w:eastAsia="Arial" w:hAnsi="Arial" w:cs="Arial"/>
          <w:color w:val="auto"/>
          <w:sz w:val="24"/>
          <w:szCs w:val="24"/>
        </w:rPr>
        <w:t xml:space="preserve">armed conflict in </w:t>
      </w:r>
      <w:proofErr w:type="spellStart"/>
      <w:r w:rsidR="00DD15AE" w:rsidRPr="00DD15AE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DD15AE" w:rsidRPr="00DD15AE">
        <w:rPr>
          <w:rFonts w:ascii="Arial" w:eastAsia="Arial" w:hAnsi="Arial" w:cs="Arial"/>
          <w:color w:val="auto"/>
          <w:sz w:val="24"/>
          <w:szCs w:val="24"/>
        </w:rPr>
        <w:t>.</w:t>
      </w:r>
      <w:r w:rsidR="005E5B75">
        <w:rPr>
          <w:rFonts w:ascii="Arial" w:eastAsia="Arial" w:hAnsi="Arial" w:cs="Arial"/>
          <w:color w:val="auto"/>
          <w:sz w:val="24"/>
          <w:szCs w:val="24"/>
        </w:rPr>
        <w:t xml:space="preserve"> Loyal, Victoria, Oriental Mindoro</w:t>
      </w:r>
      <w:r w:rsidR="0037414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DD15A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DD15A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D15AE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D15A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772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726"/>
        <w:gridCol w:w="1413"/>
        <w:gridCol w:w="1413"/>
      </w:tblGrid>
      <w:tr w:rsidR="00292959" w:rsidRPr="00292959" w:rsidTr="00292959">
        <w:trPr>
          <w:trHeight w:val="20"/>
        </w:trPr>
        <w:tc>
          <w:tcPr>
            <w:tcW w:w="252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vMerge/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DD15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452A5A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="00292959"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5E5B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B75">
              <w:rPr>
                <w:rFonts w:ascii="Arial" w:hAnsi="Arial" w:cs="Arial"/>
                <w:b/>
                <w:bCs/>
                <w:sz w:val="20"/>
                <w:szCs w:val="20"/>
              </w:rPr>
              <w:t>413</w:t>
            </w: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5E5B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B75">
              <w:rPr>
                <w:rFonts w:ascii="Arial" w:hAnsi="Arial" w:cs="Arial"/>
                <w:b/>
                <w:bCs/>
                <w:sz w:val="20"/>
                <w:szCs w:val="20"/>
              </w:rPr>
              <w:t>1,751</w:t>
            </w: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DD15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452A5A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292959"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413</w:t>
            </w:r>
            <w:r w:rsidR="00292959"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1,751</w:t>
            </w:r>
            <w:r w:rsidR="00292959"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C6AE4" w:rsidRPr="00292959" w:rsidTr="007C6AE4">
        <w:trPr>
          <w:trHeight w:val="20"/>
        </w:trPr>
        <w:tc>
          <w:tcPr>
            <w:tcW w:w="2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7C6AE4" w:rsidRDefault="007C6AE4" w:rsidP="005E5B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95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B75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452A5A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7C6AE4"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5E5B75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413</w:t>
            </w:r>
            <w:r w:rsidR="007C6AE4"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5E5B75" w:rsidP="00DD1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1,751</w:t>
            </w:r>
            <w:r w:rsidR="007C6AE4"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B218A" w:rsidRPr="00CE0026" w:rsidRDefault="00CE0026" w:rsidP="00DD15AE">
      <w:pPr>
        <w:pStyle w:val="m-1030232524421998442gmail-nospacing1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</w:t>
      </w:r>
      <w:r w:rsidR="003C6497">
        <w:rPr>
          <w:rFonts w:ascii="Arial" w:hAnsi="Arial" w:cs="Arial"/>
          <w:i/>
          <w:iCs/>
          <w:color w:val="222222"/>
          <w:sz w:val="16"/>
          <w:szCs w:val="16"/>
        </w:rPr>
        <w:t>going assessment and validation</w:t>
      </w:r>
    </w:p>
    <w:p w:rsidR="00172936" w:rsidRPr="00292959" w:rsidRDefault="00D11E6C" w:rsidP="00DD15A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4E603C">
        <w:rPr>
          <w:rFonts w:ascii="Arial" w:eastAsia="Arial" w:hAnsi="Arial" w:cs="Arial"/>
          <w:i/>
          <w:color w:val="0070C0"/>
          <w:sz w:val="16"/>
          <w:szCs w:val="24"/>
        </w:rPr>
        <w:t>FO MIMAROPA</w:t>
      </w:r>
    </w:p>
    <w:p w:rsidR="002B4E98" w:rsidRPr="003C6497" w:rsidRDefault="002B4E98" w:rsidP="00DD15A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84599" w:rsidRPr="00292959" w:rsidRDefault="00172936" w:rsidP="00DD15A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F8459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9D6EF4" w:rsidRPr="009D6EF4" w:rsidRDefault="00374146" w:rsidP="00DD15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At present,</w:t>
      </w:r>
      <w:r w:rsidR="00F84599" w:rsidRPr="00F8459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F3751">
        <w:rPr>
          <w:rFonts w:ascii="Arial" w:eastAsia="Times New Roman" w:hAnsi="Arial" w:cs="Arial"/>
          <w:b/>
          <w:bCs/>
          <w:color w:val="0070C0"/>
          <w:sz w:val="24"/>
          <w:szCs w:val="24"/>
        </w:rPr>
        <w:t>413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or </w:t>
      </w:r>
      <w:r w:rsidR="00AF3751">
        <w:rPr>
          <w:rFonts w:ascii="Arial" w:eastAsia="Times New Roman" w:hAnsi="Arial" w:cs="Arial"/>
          <w:b/>
          <w:bCs/>
          <w:color w:val="0070C0"/>
          <w:sz w:val="24"/>
          <w:szCs w:val="24"/>
        </w:rPr>
        <w:t>1,751</w:t>
      </w:r>
      <w:r w:rsidR="00975E8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74146">
        <w:rPr>
          <w:rFonts w:ascii="Arial" w:eastAsia="Times New Roman" w:hAnsi="Arial" w:cs="Arial"/>
          <w:sz w:val="24"/>
          <w:szCs w:val="24"/>
        </w:rPr>
        <w:t xml:space="preserve"> 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are temporarily staying </w:t>
      </w:r>
      <w:r w:rsidR="00AF3751">
        <w:rPr>
          <w:rFonts w:ascii="Arial" w:eastAsia="Times New Roman" w:hAnsi="Arial" w:cs="Arial"/>
          <w:sz w:val="24"/>
          <w:szCs w:val="24"/>
        </w:rPr>
        <w:t xml:space="preserve">inside </w:t>
      </w:r>
      <w:r w:rsidR="00AF3751" w:rsidRPr="00AF37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 evacuation centers </w:t>
      </w:r>
      <w:r w:rsidR="00E27E57" w:rsidRPr="00E27E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in </w:t>
      </w:r>
      <w:r w:rsidR="00CC2C5D">
        <w:rPr>
          <w:rFonts w:ascii="Arial" w:eastAsia="Times New Roman" w:hAnsi="Arial" w:cs="Arial"/>
          <w:bCs/>
          <w:color w:val="auto"/>
          <w:sz w:val="24"/>
          <w:szCs w:val="24"/>
        </w:rPr>
        <w:t>Victoria, Oriental M</w:t>
      </w:r>
      <w:r w:rsidR="00CC2C5D" w:rsidRPr="00CC2C5D">
        <w:rPr>
          <w:rFonts w:ascii="Arial" w:eastAsia="Times New Roman" w:hAnsi="Arial" w:cs="Arial"/>
          <w:bCs/>
          <w:color w:val="auto"/>
          <w:sz w:val="24"/>
          <w:szCs w:val="24"/>
        </w:rPr>
        <w:t>indoro</w:t>
      </w:r>
      <w:r w:rsidR="00CC2C5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AF3751">
        <w:rPr>
          <w:rFonts w:ascii="Arial" w:eastAsia="Times New Roman" w:hAnsi="Arial" w:cs="Arial"/>
          <w:sz w:val="24"/>
          <w:szCs w:val="24"/>
        </w:rPr>
        <w:t>(see Table 2</w:t>
      </w:r>
      <w:r w:rsidR="009D6EF4" w:rsidRPr="009D6EF4">
        <w:rPr>
          <w:rFonts w:ascii="Arial" w:eastAsia="Times New Roman" w:hAnsi="Arial" w:cs="Arial"/>
          <w:sz w:val="24"/>
          <w:szCs w:val="24"/>
        </w:rPr>
        <w:t>).</w:t>
      </w:r>
    </w:p>
    <w:p w:rsidR="009D6EF4" w:rsidRPr="009D6EF4" w:rsidRDefault="009D6EF4" w:rsidP="00DD15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AF3751" w:rsidRDefault="00AF3751" w:rsidP="00CC2C5D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67" w:type="pct"/>
        <w:tblInd w:w="468" w:type="dxa"/>
        <w:tblLook w:val="04A0" w:firstRow="1" w:lastRow="0" w:firstColumn="1" w:lastColumn="0" w:noHBand="0" w:noVBand="1"/>
      </w:tblPr>
      <w:tblGrid>
        <w:gridCol w:w="273"/>
        <w:gridCol w:w="2602"/>
        <w:gridCol w:w="1651"/>
        <w:gridCol w:w="1159"/>
        <w:gridCol w:w="871"/>
        <w:gridCol w:w="875"/>
        <w:gridCol w:w="871"/>
        <w:gridCol w:w="878"/>
      </w:tblGrid>
      <w:tr w:rsidR="00AF3751" w:rsidRPr="003B0083" w:rsidTr="00926D9F">
        <w:trPr>
          <w:trHeight w:val="20"/>
        </w:trPr>
        <w:tc>
          <w:tcPr>
            <w:tcW w:w="1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F3751" w:rsidRPr="003B0083" w:rsidTr="00926D9F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F3751" w:rsidRPr="003B0083" w:rsidTr="00926D9F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F3751" w:rsidRPr="003B0083" w:rsidTr="00926D9F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</w:t>
            </w:r>
          </w:p>
        </w:tc>
      </w:tr>
      <w:tr w:rsidR="00AF3751" w:rsidRPr="003B0083" w:rsidTr="00926D9F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</w:t>
            </w:r>
          </w:p>
        </w:tc>
      </w:tr>
      <w:tr w:rsidR="00AF3751" w:rsidRPr="003B0083" w:rsidTr="00926D9F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</w:t>
            </w:r>
          </w:p>
        </w:tc>
      </w:tr>
      <w:tr w:rsidR="00AF3751" w:rsidRPr="003B0083" w:rsidTr="00926D9F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413</w:t>
            </w: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AF37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413</w:t>
            </w: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1,751</w:t>
            </w: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751" w:rsidRPr="003B0083" w:rsidRDefault="00AF3751" w:rsidP="00926D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1,751</w:t>
            </w:r>
            <w:r w:rsidRPr="003B008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F3751" w:rsidRPr="00BB7248" w:rsidRDefault="00AF3751" w:rsidP="00AF375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967104"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</w:t>
      </w:r>
    </w:p>
    <w:p w:rsidR="00AF3751" w:rsidRPr="00BB7248" w:rsidRDefault="00AF3751" w:rsidP="00AF375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E603C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:rsidR="003A340F" w:rsidRDefault="003A340F" w:rsidP="003A3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340F" w:rsidRDefault="003A340F" w:rsidP="003A340F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A340F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3A340F" w:rsidRPr="003A340F" w:rsidRDefault="003A340F" w:rsidP="003A340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70E4">
        <w:rPr>
          <w:rFonts w:ascii="Arial" w:eastAsia="Arial" w:hAnsi="Arial" w:cs="Arial"/>
          <w:b/>
          <w:color w:val="0070C0"/>
          <w:sz w:val="24"/>
          <w:szCs w:val="24"/>
        </w:rPr>
        <w:t>349,896.00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70E4">
        <w:rPr>
          <w:rFonts w:ascii="Arial" w:eastAsia="Arial" w:hAnsi="Arial" w:cs="Arial"/>
          <w:b/>
          <w:color w:val="0070C0"/>
          <w:sz w:val="24"/>
          <w:szCs w:val="24"/>
        </w:rPr>
        <w:t>102,410.00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DSWD,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70E4">
        <w:rPr>
          <w:rFonts w:ascii="Arial" w:eastAsia="Arial" w:hAnsi="Arial" w:cs="Arial"/>
          <w:b/>
          <w:color w:val="0070C0"/>
          <w:sz w:val="24"/>
          <w:szCs w:val="24"/>
        </w:rPr>
        <w:t>211,120.00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sz w:val="24"/>
          <w:szCs w:val="24"/>
        </w:rPr>
        <w:t>was provided by the LGU</w:t>
      </w:r>
      <w:r w:rsidRPr="003A340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sz w:val="24"/>
          <w:szCs w:val="24"/>
        </w:rPr>
        <w:t xml:space="preserve">and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70E4">
        <w:rPr>
          <w:rFonts w:ascii="Arial" w:eastAsia="Arial" w:hAnsi="Arial" w:cs="Arial"/>
          <w:b/>
          <w:color w:val="0070C0"/>
          <w:sz w:val="24"/>
          <w:szCs w:val="24"/>
        </w:rPr>
        <w:t>36,366.00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sz w:val="24"/>
          <w:szCs w:val="24"/>
        </w:rPr>
        <w:t>was</w:t>
      </w:r>
      <w:r w:rsidRPr="003A340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sz w:val="24"/>
          <w:szCs w:val="24"/>
        </w:rPr>
        <w:t>provided by NGOs</w:t>
      </w:r>
      <w:r w:rsidRPr="003A340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:rsidR="003A340F" w:rsidRDefault="003A340F" w:rsidP="003A340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A340F" w:rsidRDefault="003A340F" w:rsidP="003A340F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3A340F" w:rsidRDefault="003A340F" w:rsidP="003A340F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12516"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 Provided to Affected Families / Persons</w:t>
      </w:r>
    </w:p>
    <w:tbl>
      <w:tblPr>
        <w:tblW w:w="4813" w:type="pct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078"/>
        <w:gridCol w:w="1155"/>
        <w:gridCol w:w="1155"/>
        <w:gridCol w:w="1149"/>
        <w:gridCol w:w="1010"/>
        <w:gridCol w:w="1477"/>
      </w:tblGrid>
      <w:tr w:rsidR="003A340F" w:rsidRPr="00C51A27" w:rsidTr="00926D9F">
        <w:trPr>
          <w:trHeight w:val="152"/>
        </w:trPr>
        <w:tc>
          <w:tcPr>
            <w:tcW w:w="1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A340F" w:rsidRPr="00C51A27" w:rsidTr="00926D9F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A340F" w:rsidRPr="00C51A27" w:rsidTr="00926D9F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102,410.00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211,120.00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36,366.00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A340F" w:rsidRPr="00C51A27" w:rsidRDefault="002043F2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349,896.00</w:t>
            </w:r>
            <w:r w:rsidR="003A340F"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340F" w:rsidRPr="00C51A27" w:rsidTr="00926D9F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A340F" w:rsidRPr="00C51A27" w:rsidRDefault="002043F2" w:rsidP="00926D9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102,410.00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211,120.00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36,366.00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A340F" w:rsidRPr="00C51A27" w:rsidRDefault="002043F2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349,896.00</w:t>
            </w:r>
          </w:p>
        </w:tc>
      </w:tr>
      <w:tr w:rsidR="003A340F" w:rsidRPr="00C51A27" w:rsidTr="00926D9F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A340F" w:rsidRPr="00C51A27" w:rsidRDefault="002043F2" w:rsidP="00926D9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102,410.00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211,120.00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A340F" w:rsidRPr="00C51A27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36,366.00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A340F" w:rsidRPr="00C51A27" w:rsidRDefault="002043F2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349,896.00</w:t>
            </w:r>
          </w:p>
        </w:tc>
      </w:tr>
      <w:tr w:rsidR="003A340F" w:rsidRPr="00C51A27" w:rsidTr="00926D9F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40F" w:rsidRPr="00C51A27" w:rsidRDefault="002043F2" w:rsidP="00926D9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40F" w:rsidRPr="002043F2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43F2">
              <w:rPr>
                <w:rFonts w:ascii="Arial" w:hAnsi="Arial" w:cs="Arial"/>
                <w:bCs/>
                <w:i/>
                <w:sz w:val="20"/>
                <w:szCs w:val="20"/>
              </w:rPr>
              <w:t>102,410.00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40F" w:rsidRPr="002043F2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43F2">
              <w:rPr>
                <w:rFonts w:ascii="Arial" w:hAnsi="Arial" w:cs="Arial"/>
                <w:bCs/>
                <w:i/>
                <w:sz w:val="20"/>
                <w:szCs w:val="20"/>
              </w:rPr>
              <w:t>211,120.00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40F" w:rsidRPr="002043F2" w:rsidRDefault="002043F2" w:rsidP="004100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43F2">
              <w:rPr>
                <w:rFonts w:ascii="Arial" w:hAnsi="Arial" w:cs="Arial"/>
                <w:bCs/>
                <w:i/>
                <w:sz w:val="20"/>
                <w:szCs w:val="20"/>
              </w:rPr>
              <w:t>36,366.00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40F" w:rsidRPr="00C51A27" w:rsidRDefault="003A340F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40F" w:rsidRPr="002043F2" w:rsidRDefault="002043F2" w:rsidP="009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43F2">
              <w:rPr>
                <w:rFonts w:ascii="Arial" w:hAnsi="Arial" w:cs="Arial"/>
                <w:bCs/>
                <w:i/>
                <w:sz w:val="20"/>
                <w:szCs w:val="20"/>
              </w:rPr>
              <w:t>349,896.00</w:t>
            </w:r>
          </w:p>
        </w:tc>
      </w:tr>
    </w:tbl>
    <w:p w:rsidR="003A340F" w:rsidRPr="00312516" w:rsidRDefault="003A340F" w:rsidP="003A340F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</w:p>
    <w:p w:rsidR="003A340F" w:rsidRPr="00312516" w:rsidRDefault="004E603C" w:rsidP="003A340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:rsidR="005C7FF3" w:rsidRPr="007D3BCE" w:rsidRDefault="005C7FF3" w:rsidP="00DD15A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DD15A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471B44" w:rsidP="00DD15A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92959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DD15A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4E603C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74146" w:rsidRP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:rsidR="00D11E6C" w:rsidRPr="007D3BCE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DD15A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4E603C">
        <w:rPr>
          <w:rFonts w:ascii="Arial" w:eastAsia="Arial" w:hAnsi="Arial" w:cs="Arial"/>
          <w:b/>
          <w:color w:val="222222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146119">
        <w:trPr>
          <w:trHeight w:val="20"/>
          <w:tblHeader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DD1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471B44" w:rsidP="00DD1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37414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C5D" w:rsidRPr="00CC2C5D" w:rsidRDefault="00CC2C5D" w:rsidP="00CC2C5D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9" w:hanging="29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>DSWD-Field Office</w:t>
            </w:r>
            <w:r w:rsidR="004E603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MIMAROPA</w:t>
            </w:r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75C0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</w:t>
            </w:r>
            <w:bookmarkStart w:id="0" w:name="_GoBack"/>
            <w:bookmarkEnd w:id="0"/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ly coordinati</w:t>
            </w:r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g</w:t>
            </w:r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P/MSWDO and MDRRMO to further assess the condition/situation of the affected families/individuals</w:t>
            </w:r>
            <w:r w:rsidRPr="00CC2C5D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780980" w:rsidRDefault="00780980" w:rsidP="00F97FF1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9" w:hanging="29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CE606E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</w:t>
            </w:r>
            <w:r w:rsidR="00CC2C5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MIMAROPA</w:t>
            </w:r>
            <w:r w:rsidRPr="005C664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</w:t>
            </w:r>
            <w:r w:rsidR="00374146" w:rsidRPr="005C664B">
              <w:rPr>
                <w:rFonts w:ascii="Arial" w:eastAsia="Arial" w:hAnsi="Arial" w:cs="Arial"/>
                <w:color w:val="0070C0"/>
                <w:sz w:val="20"/>
                <w:szCs w:val="24"/>
              </w:rPr>
              <w:t>in close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coordination with the Municipal Social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Welfare and Development Office (MSWDO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), Municipal Disaster Risk Reduction and 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 Office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(MDRRM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>O</w:t>
            </w:r>
            <w:r w:rsidR="00975E8A">
              <w:rPr>
                <w:rFonts w:ascii="Arial" w:eastAsia="Arial" w:hAnsi="Arial" w:cs="Arial"/>
                <w:color w:val="0070C0"/>
                <w:sz w:val="20"/>
                <w:szCs w:val="24"/>
              </w:rPr>
              <w:t>) and the Provincial Local Government Office for any significant update</w:t>
            </w:r>
            <w:r w:rsidR="00CE606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 </w:t>
            </w:r>
            <w:r w:rsidR="00975E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F97FF1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</w:t>
            </w:r>
            <w:r w:rsidR="00CC2C5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additional</w:t>
            </w:r>
            <w:r w:rsidR="00975E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request.</w:t>
            </w:r>
          </w:p>
          <w:p w:rsidR="00CE606E" w:rsidRPr="00975E8A" w:rsidRDefault="00CE606E" w:rsidP="00CC2C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:rsidR="00D12D94" w:rsidRPr="007D3BCE" w:rsidRDefault="00D12D94" w:rsidP="00DD15A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DD15A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Default="00D12D94" w:rsidP="00DD15A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4E603C">
        <w:rPr>
          <w:rFonts w:ascii="Arial" w:hAnsi="Arial" w:cs="Arial"/>
          <w:i/>
          <w:iCs/>
          <w:sz w:val="20"/>
          <w:szCs w:val="24"/>
          <w:shd w:val="clear" w:color="auto" w:fill="FFFFFF"/>
        </w:rPr>
        <w:t>MIMAROPA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975E8A" w:rsidRPr="00CE0026" w:rsidRDefault="00975E8A" w:rsidP="00DD15A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:rsidR="00D62363" w:rsidRDefault="00D62363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691646" w:rsidRPr="00691646" w:rsidRDefault="00691646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BF7793" w:rsidRPr="00BF7793" w:rsidRDefault="00471B44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JOANNA CAMILLE R. JACINTO</w:t>
      </w: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Default="00BF7793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D12D94" w:rsidRPr="007D3BCE" w:rsidRDefault="00471B44" w:rsidP="00DD15A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RODEL V. CABADDU</w:t>
      </w:r>
    </w:p>
    <w:p w:rsidR="00D12D94" w:rsidRPr="007D3BCE" w:rsidRDefault="00D12D94" w:rsidP="00DD15A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C3" w:rsidRDefault="00FB3FC3">
      <w:pPr>
        <w:spacing w:after="0" w:line="240" w:lineRule="auto"/>
      </w:pPr>
      <w:r>
        <w:separator/>
      </w:r>
    </w:p>
  </w:endnote>
  <w:endnote w:type="continuationSeparator" w:id="0">
    <w:p w:rsidR="00FB3FC3" w:rsidRDefault="00F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72748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C75C0A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C75C0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727489">
      <w:rPr>
        <w:rFonts w:ascii="Arial" w:eastAsia="Arial" w:hAnsi="Arial" w:cs="Arial"/>
        <w:sz w:val="14"/>
        <w:szCs w:val="16"/>
      </w:rPr>
      <w:t xml:space="preserve">DSWD DROMIC Report #1 on the </w:t>
    </w:r>
    <w:r w:rsidR="00DD15AE">
      <w:rPr>
        <w:rFonts w:ascii="Arial" w:eastAsia="Arial" w:hAnsi="Arial" w:cs="Arial"/>
        <w:sz w:val="14"/>
        <w:szCs w:val="16"/>
      </w:rPr>
      <w:t xml:space="preserve">Armed Conflict </w:t>
    </w:r>
    <w:r w:rsidR="00727489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471B44">
      <w:rPr>
        <w:rFonts w:ascii="Arial" w:eastAsia="Arial" w:hAnsi="Arial" w:cs="Arial"/>
        <w:sz w:val="14"/>
        <w:szCs w:val="16"/>
      </w:rPr>
      <w:t>Brgy</w:t>
    </w:r>
    <w:proofErr w:type="spellEnd"/>
    <w:r w:rsidR="00471B44">
      <w:rPr>
        <w:rFonts w:ascii="Arial" w:eastAsia="Arial" w:hAnsi="Arial" w:cs="Arial"/>
        <w:sz w:val="14"/>
        <w:szCs w:val="16"/>
      </w:rPr>
      <w:t>. Loyal, Victoria, Oriental Mindoro</w:t>
    </w:r>
    <w:r w:rsidR="00727489">
      <w:rPr>
        <w:rFonts w:ascii="Arial" w:eastAsia="Arial" w:hAnsi="Arial" w:cs="Arial"/>
        <w:sz w:val="14"/>
        <w:szCs w:val="16"/>
      </w:rPr>
      <w:t xml:space="preserve"> </w:t>
    </w:r>
    <w:r w:rsidR="00471B44">
      <w:rPr>
        <w:rFonts w:ascii="Arial" w:eastAsia="Arial" w:hAnsi="Arial" w:cs="Arial"/>
        <w:sz w:val="14"/>
        <w:szCs w:val="16"/>
      </w:rPr>
      <w:t>as of 13</w:t>
    </w:r>
    <w:r w:rsidR="005C664B">
      <w:rPr>
        <w:rFonts w:ascii="Arial" w:eastAsia="Arial" w:hAnsi="Arial" w:cs="Arial"/>
        <w:sz w:val="14"/>
        <w:szCs w:val="16"/>
      </w:rPr>
      <w:t xml:space="preserve"> </w:t>
    </w:r>
    <w:r w:rsidR="004E603C">
      <w:rPr>
        <w:rFonts w:ascii="Arial" w:eastAsia="Arial" w:hAnsi="Arial" w:cs="Arial"/>
        <w:sz w:val="14"/>
        <w:szCs w:val="16"/>
      </w:rPr>
      <w:t>July 2019, 4</w:t>
    </w:r>
    <w:r w:rsidR="005C664B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C3" w:rsidRDefault="00FB3FC3">
      <w:pPr>
        <w:spacing w:after="0" w:line="240" w:lineRule="auto"/>
      </w:pPr>
      <w:r>
        <w:separator/>
      </w:r>
    </w:p>
  </w:footnote>
  <w:footnote w:type="continuationSeparator" w:id="0">
    <w:p w:rsidR="00FB3FC3" w:rsidRDefault="00F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5"/>
  </w:num>
  <w:num w:numId="7">
    <w:abstractNumId w:val="36"/>
  </w:num>
  <w:num w:numId="8">
    <w:abstractNumId w:val="23"/>
  </w:num>
  <w:num w:numId="9">
    <w:abstractNumId w:val="33"/>
  </w:num>
  <w:num w:numId="10">
    <w:abstractNumId w:val="16"/>
  </w:num>
  <w:num w:numId="11">
    <w:abstractNumId w:val="34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7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5BCB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119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0D55"/>
    <w:rsid w:val="001D01A8"/>
    <w:rsid w:val="001E08FA"/>
    <w:rsid w:val="001E1043"/>
    <w:rsid w:val="001E26B4"/>
    <w:rsid w:val="0020030B"/>
    <w:rsid w:val="002043F2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2959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4146"/>
    <w:rsid w:val="00376584"/>
    <w:rsid w:val="00377F27"/>
    <w:rsid w:val="00383309"/>
    <w:rsid w:val="00384E5A"/>
    <w:rsid w:val="003870A7"/>
    <w:rsid w:val="00390877"/>
    <w:rsid w:val="00391318"/>
    <w:rsid w:val="00397271"/>
    <w:rsid w:val="003A340F"/>
    <w:rsid w:val="003B1652"/>
    <w:rsid w:val="003B46D8"/>
    <w:rsid w:val="003B524C"/>
    <w:rsid w:val="003B6ADE"/>
    <w:rsid w:val="003C6497"/>
    <w:rsid w:val="003C7043"/>
    <w:rsid w:val="003C707B"/>
    <w:rsid w:val="003C7DE1"/>
    <w:rsid w:val="003D09A9"/>
    <w:rsid w:val="003D357A"/>
    <w:rsid w:val="003D4AAB"/>
    <w:rsid w:val="003D4DF7"/>
    <w:rsid w:val="003E27EE"/>
    <w:rsid w:val="003F0D46"/>
    <w:rsid w:val="00400005"/>
    <w:rsid w:val="00402969"/>
    <w:rsid w:val="004033F8"/>
    <w:rsid w:val="00410057"/>
    <w:rsid w:val="004134A7"/>
    <w:rsid w:val="00421C8C"/>
    <w:rsid w:val="00425689"/>
    <w:rsid w:val="0042628C"/>
    <w:rsid w:val="004334A9"/>
    <w:rsid w:val="004428A9"/>
    <w:rsid w:val="00446AAF"/>
    <w:rsid w:val="00447043"/>
    <w:rsid w:val="00452A5A"/>
    <w:rsid w:val="0045417C"/>
    <w:rsid w:val="00456B0E"/>
    <w:rsid w:val="00460779"/>
    <w:rsid w:val="0046391D"/>
    <w:rsid w:val="00471B44"/>
    <w:rsid w:val="004801A8"/>
    <w:rsid w:val="00485FAA"/>
    <w:rsid w:val="004867BA"/>
    <w:rsid w:val="00490703"/>
    <w:rsid w:val="00493C34"/>
    <w:rsid w:val="00495369"/>
    <w:rsid w:val="004A195C"/>
    <w:rsid w:val="004B0036"/>
    <w:rsid w:val="004B6A6E"/>
    <w:rsid w:val="004B6B6D"/>
    <w:rsid w:val="004C55DA"/>
    <w:rsid w:val="004D1392"/>
    <w:rsid w:val="004E2DCF"/>
    <w:rsid w:val="004E603C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04FC"/>
    <w:rsid w:val="00557D52"/>
    <w:rsid w:val="00557EE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664B"/>
    <w:rsid w:val="005C7862"/>
    <w:rsid w:val="005C7FF3"/>
    <w:rsid w:val="005E5B75"/>
    <w:rsid w:val="0060485F"/>
    <w:rsid w:val="00606AB1"/>
    <w:rsid w:val="00611D34"/>
    <w:rsid w:val="00632650"/>
    <w:rsid w:val="00634542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1646"/>
    <w:rsid w:val="00695D36"/>
    <w:rsid w:val="0069611E"/>
    <w:rsid w:val="00696FAF"/>
    <w:rsid w:val="006A0D27"/>
    <w:rsid w:val="006A1773"/>
    <w:rsid w:val="006A73E5"/>
    <w:rsid w:val="006B6490"/>
    <w:rsid w:val="006C2CB0"/>
    <w:rsid w:val="006C3732"/>
    <w:rsid w:val="006C5A97"/>
    <w:rsid w:val="006D67C6"/>
    <w:rsid w:val="006E08CA"/>
    <w:rsid w:val="006E23E1"/>
    <w:rsid w:val="006E6AC7"/>
    <w:rsid w:val="00701F97"/>
    <w:rsid w:val="007025CB"/>
    <w:rsid w:val="007029A9"/>
    <w:rsid w:val="00703E20"/>
    <w:rsid w:val="007136F6"/>
    <w:rsid w:val="00724F05"/>
    <w:rsid w:val="00725D9A"/>
    <w:rsid w:val="00727489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C6AE4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1C8A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C7BA8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67104"/>
    <w:rsid w:val="009736C3"/>
    <w:rsid w:val="00975E8A"/>
    <w:rsid w:val="009808F1"/>
    <w:rsid w:val="00984253"/>
    <w:rsid w:val="00990989"/>
    <w:rsid w:val="00995722"/>
    <w:rsid w:val="009A0AC9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3101"/>
    <w:rsid w:val="00A254E0"/>
    <w:rsid w:val="00A26DFC"/>
    <w:rsid w:val="00A329E3"/>
    <w:rsid w:val="00A35FC5"/>
    <w:rsid w:val="00A360D4"/>
    <w:rsid w:val="00A3643A"/>
    <w:rsid w:val="00A440A6"/>
    <w:rsid w:val="00A50F0D"/>
    <w:rsid w:val="00A55D0B"/>
    <w:rsid w:val="00A566DA"/>
    <w:rsid w:val="00A56D1F"/>
    <w:rsid w:val="00A6302A"/>
    <w:rsid w:val="00A73F06"/>
    <w:rsid w:val="00A8047E"/>
    <w:rsid w:val="00A804E3"/>
    <w:rsid w:val="00A81C78"/>
    <w:rsid w:val="00A8201C"/>
    <w:rsid w:val="00A834B4"/>
    <w:rsid w:val="00A8461F"/>
    <w:rsid w:val="00A91B96"/>
    <w:rsid w:val="00A92D93"/>
    <w:rsid w:val="00A970E4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AF3751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1498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BF7793"/>
    <w:rsid w:val="00C00C48"/>
    <w:rsid w:val="00C050DB"/>
    <w:rsid w:val="00C14D9B"/>
    <w:rsid w:val="00C33267"/>
    <w:rsid w:val="00C43451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5C0A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C2C5D"/>
    <w:rsid w:val="00CD2EC0"/>
    <w:rsid w:val="00CE0026"/>
    <w:rsid w:val="00CE606E"/>
    <w:rsid w:val="00CE7C6C"/>
    <w:rsid w:val="00CF30C3"/>
    <w:rsid w:val="00CF6CA2"/>
    <w:rsid w:val="00CF786F"/>
    <w:rsid w:val="00D018CB"/>
    <w:rsid w:val="00D01F5A"/>
    <w:rsid w:val="00D05E17"/>
    <w:rsid w:val="00D11E6C"/>
    <w:rsid w:val="00D12D94"/>
    <w:rsid w:val="00D278C1"/>
    <w:rsid w:val="00D307D8"/>
    <w:rsid w:val="00D325D1"/>
    <w:rsid w:val="00D43941"/>
    <w:rsid w:val="00D62363"/>
    <w:rsid w:val="00D63FBA"/>
    <w:rsid w:val="00D666A3"/>
    <w:rsid w:val="00D8053B"/>
    <w:rsid w:val="00D93477"/>
    <w:rsid w:val="00D93FEC"/>
    <w:rsid w:val="00DA0433"/>
    <w:rsid w:val="00DA1FDD"/>
    <w:rsid w:val="00DA4074"/>
    <w:rsid w:val="00DC0B44"/>
    <w:rsid w:val="00DC45D6"/>
    <w:rsid w:val="00DD15AE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27E57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4599"/>
    <w:rsid w:val="00F91779"/>
    <w:rsid w:val="00F97FF1"/>
    <w:rsid w:val="00FA71E5"/>
    <w:rsid w:val="00FB3FC3"/>
    <w:rsid w:val="00FB6498"/>
    <w:rsid w:val="00FC192D"/>
    <w:rsid w:val="00FD1510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A6757"/>
  <w15:docId w15:val="{946599C2-CACD-41B1-904A-68FEF29A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3134-D3C0-49CC-9B17-0204A46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Camille R. Jacinto</cp:lastModifiedBy>
  <cp:revision>9</cp:revision>
  <dcterms:created xsi:type="dcterms:W3CDTF">2019-07-13T07:48:00Z</dcterms:created>
  <dcterms:modified xsi:type="dcterms:W3CDTF">2019-07-13T07:57:00Z</dcterms:modified>
</cp:coreProperties>
</file>