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610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4A313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:rsidR="006B5642" w:rsidRPr="005F5674" w:rsidRDefault="004A3134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E4013D" w:rsidRPr="00E4013D">
        <w:rPr>
          <w:rFonts w:ascii="Arial" w:eastAsia="Arial" w:hAnsi="Arial" w:cs="Arial"/>
          <w:b/>
          <w:sz w:val="32"/>
          <w:szCs w:val="24"/>
        </w:rPr>
        <w:t xml:space="preserve">Barangay </w:t>
      </w:r>
      <w:proofErr w:type="spellStart"/>
      <w:r w:rsidR="00E4013D" w:rsidRPr="00E4013D">
        <w:rPr>
          <w:rFonts w:ascii="Arial" w:eastAsia="Arial" w:hAnsi="Arial" w:cs="Arial"/>
          <w:b/>
          <w:sz w:val="32"/>
          <w:szCs w:val="24"/>
        </w:rPr>
        <w:t>Silangan</w:t>
      </w:r>
      <w:proofErr w:type="spellEnd"/>
      <w:r w:rsidR="00E4013D" w:rsidRPr="00E4013D">
        <w:rPr>
          <w:rFonts w:ascii="Arial" w:eastAsia="Arial" w:hAnsi="Arial" w:cs="Arial"/>
          <w:b/>
          <w:sz w:val="32"/>
          <w:szCs w:val="24"/>
        </w:rPr>
        <w:t>, San Mateo, Rizal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E4013D">
        <w:rPr>
          <w:rFonts w:ascii="Arial" w:eastAsia="Arial" w:hAnsi="Arial" w:cs="Arial"/>
          <w:sz w:val="24"/>
          <w:szCs w:val="24"/>
        </w:rPr>
        <w:t>13</w:t>
      </w:r>
      <w:r w:rsidR="004A313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4A3134"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E40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E4013D" w:rsidRDefault="00A23126" w:rsidP="00E4013D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A589F">
        <w:rPr>
          <w:rFonts w:ascii="Arial" w:eastAsia="Arial" w:hAnsi="Arial" w:cs="Arial"/>
          <w:sz w:val="24"/>
          <w:szCs w:val="24"/>
        </w:rPr>
        <w:t xml:space="preserve">On July </w:t>
      </w:r>
      <w:r w:rsidR="00E4013D">
        <w:rPr>
          <w:rFonts w:ascii="Arial" w:eastAsia="Arial" w:hAnsi="Arial" w:cs="Arial"/>
          <w:sz w:val="24"/>
          <w:szCs w:val="24"/>
        </w:rPr>
        <w:t>08</w:t>
      </w:r>
      <w:r w:rsidR="00472A90" w:rsidRPr="000A589F">
        <w:rPr>
          <w:rFonts w:ascii="Arial" w:eastAsia="Arial" w:hAnsi="Arial" w:cs="Arial"/>
          <w:sz w:val="24"/>
          <w:szCs w:val="24"/>
        </w:rPr>
        <w:t xml:space="preserve">, 2019 a </w:t>
      </w:r>
      <w:r w:rsidRPr="000A589F">
        <w:rPr>
          <w:rFonts w:ascii="Arial" w:eastAsia="Arial" w:hAnsi="Arial" w:cs="Arial"/>
          <w:sz w:val="24"/>
          <w:szCs w:val="24"/>
        </w:rPr>
        <w:t>Fire Incident occurred</w:t>
      </w:r>
      <w:r w:rsidR="00472A90" w:rsidRPr="000A589F">
        <w:rPr>
          <w:rFonts w:ascii="Arial" w:eastAsia="Arial" w:hAnsi="Arial" w:cs="Arial"/>
          <w:sz w:val="24"/>
          <w:szCs w:val="24"/>
        </w:rPr>
        <w:t xml:space="preserve"> </w:t>
      </w:r>
      <w:r w:rsidR="00E4013D">
        <w:rPr>
          <w:rFonts w:ascii="Arial" w:eastAsia="Arial" w:hAnsi="Arial" w:cs="Arial"/>
          <w:sz w:val="24"/>
          <w:szCs w:val="24"/>
        </w:rPr>
        <w:t>in</w:t>
      </w:r>
      <w:r w:rsidR="00472A90" w:rsidRPr="000A589F">
        <w:rPr>
          <w:rFonts w:ascii="Arial" w:eastAsia="Arial" w:hAnsi="Arial" w:cs="Arial"/>
          <w:sz w:val="24"/>
          <w:szCs w:val="24"/>
        </w:rPr>
        <w:t xml:space="preserve"> </w:t>
      </w:r>
      <w:r w:rsidR="00E4013D">
        <w:rPr>
          <w:rFonts w:ascii="Arial" w:eastAsia="Arial" w:hAnsi="Arial" w:cs="Arial"/>
          <w:sz w:val="24"/>
          <w:szCs w:val="24"/>
        </w:rPr>
        <w:t xml:space="preserve">Barangay </w:t>
      </w:r>
      <w:proofErr w:type="spellStart"/>
      <w:r w:rsidR="00E4013D" w:rsidRPr="00E4013D">
        <w:rPr>
          <w:rFonts w:ascii="Arial" w:eastAsia="Arial" w:hAnsi="Arial" w:cs="Arial"/>
          <w:sz w:val="24"/>
          <w:szCs w:val="24"/>
        </w:rPr>
        <w:t>Silangan</w:t>
      </w:r>
      <w:proofErr w:type="spellEnd"/>
      <w:r w:rsidR="00E4013D" w:rsidRPr="00E4013D">
        <w:rPr>
          <w:rFonts w:ascii="Arial" w:eastAsia="Arial" w:hAnsi="Arial" w:cs="Arial"/>
          <w:sz w:val="24"/>
          <w:szCs w:val="24"/>
        </w:rPr>
        <w:t>, San Mateo, Rizal</w:t>
      </w:r>
      <w:r w:rsidR="00E4013D">
        <w:rPr>
          <w:rFonts w:ascii="Arial" w:eastAsia="Arial" w:hAnsi="Arial" w:cs="Arial"/>
          <w:sz w:val="24"/>
          <w:szCs w:val="24"/>
        </w:rPr>
        <w:t xml:space="preserve">. </w:t>
      </w:r>
      <w:r w:rsidRPr="000A589F">
        <w:rPr>
          <w:rFonts w:ascii="Arial" w:hAnsi="Arial" w:cs="Arial"/>
          <w:sz w:val="24"/>
          <w:szCs w:val="24"/>
        </w:rPr>
        <w:t>The cause of fire is still under investigation.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4013D" w:rsidRPr="00E4013D" w:rsidRDefault="001149A2" w:rsidP="00E4013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A589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0A589F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A589F">
        <w:rPr>
          <w:rFonts w:ascii="Arial" w:eastAsia="Arial" w:hAnsi="Arial" w:cs="Arial"/>
          <w:sz w:val="24"/>
          <w:szCs w:val="24"/>
        </w:rPr>
        <w:t xml:space="preserve">A total of </w:t>
      </w:r>
      <w:r w:rsidR="00E4013D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A589F">
        <w:rPr>
          <w:rFonts w:ascii="Arial" w:eastAsia="Arial" w:hAnsi="Arial" w:cs="Arial"/>
          <w:sz w:val="24"/>
          <w:szCs w:val="24"/>
        </w:rPr>
        <w:t xml:space="preserve"> or </w:t>
      </w:r>
      <w:r w:rsidR="00E4013D">
        <w:rPr>
          <w:rFonts w:ascii="Arial" w:eastAsia="Arial" w:hAnsi="Arial" w:cs="Arial"/>
          <w:b/>
          <w:color w:val="0070C0"/>
          <w:sz w:val="24"/>
          <w:szCs w:val="24"/>
        </w:rPr>
        <w:t>128</w:t>
      </w:r>
      <w:r w:rsidRPr="000A589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A589F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0A589F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3"/>
        <w:gridCol w:w="1743"/>
        <w:gridCol w:w="1428"/>
        <w:gridCol w:w="1430"/>
      </w:tblGrid>
      <w:tr w:rsidR="00E4013D" w:rsidRPr="00E4013D" w:rsidTr="00E4013D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</w:tr>
    </w:tbl>
    <w:p w:rsidR="007407B3" w:rsidRPr="005F5674" w:rsidRDefault="006F010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A589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15767" w:rsidRDefault="00680B8A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9B55C9" w:rsidRDefault="009B55C9" w:rsidP="00E401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4013D" w:rsidRPr="00C66AB5" w:rsidRDefault="00E4013D" w:rsidP="00E401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E4013D" w:rsidRDefault="000146D5" w:rsidP="00E4013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E4013D" w:rsidRDefault="006B5642" w:rsidP="00773B64">
      <w:pPr>
        <w:widowControl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There are</w:t>
      </w:r>
      <w:r w:rsidRPr="00E401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E4013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32</w:t>
      </w:r>
      <w:r w:rsidR="00680B8A" w:rsidRPr="00E4013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E4013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families</w:t>
      </w:r>
      <w:r w:rsidRPr="00E4013D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 </w:t>
      </w:r>
      <w:r w:rsidR="00E4013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128</w:t>
      </w:r>
      <w:r w:rsidRPr="00E4013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persons</w:t>
      </w:r>
      <w:r w:rsidRPr="00E4013D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E4013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 </w:t>
      </w:r>
      <w:r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are currently</w:t>
      </w:r>
      <w:r w:rsidR="00A46394"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staying with </w:t>
      </w:r>
      <w:r w:rsidR="00773B6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burnt houses or near their </w:t>
      </w:r>
      <w:r w:rsidR="00E4013D"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properties.</w:t>
      </w:r>
      <w:r w:rsidR="00E4013D"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B55C9"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(see Table </w:t>
      </w:r>
      <w:r w:rsid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2</w:t>
      </w:r>
      <w:r w:rsidR="009B55C9" w:rsidRPr="00E401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6F010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0A589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 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4013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1"/>
        <w:gridCol w:w="1075"/>
        <w:gridCol w:w="1076"/>
        <w:gridCol w:w="1244"/>
        <w:gridCol w:w="1246"/>
      </w:tblGrid>
      <w:tr w:rsidR="00E4013D" w:rsidRPr="00E4013D" w:rsidTr="00E4013D">
        <w:trPr>
          <w:trHeight w:val="20"/>
        </w:trPr>
        <w:tc>
          <w:tcPr>
            <w:tcW w:w="2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4013D" w:rsidRPr="00E4013D" w:rsidTr="00E4013D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013D" w:rsidRPr="00E4013D" w:rsidTr="00E4013D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4013D" w:rsidRPr="00E4013D" w:rsidTr="00E4013D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E4013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</w:tr>
    </w:tbl>
    <w:p w:rsidR="007407B3" w:rsidRPr="009C27FB" w:rsidRDefault="000A589F" w:rsidP="00DE0D8B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322A4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AA55FF" w:rsidRDefault="00811DB1" w:rsidP="00680B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E4013D" w:rsidRPr="00B94726" w:rsidRDefault="00E4013D" w:rsidP="00680B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E4013D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E4013D">
        <w:rPr>
          <w:rFonts w:ascii="Arial" w:hAnsi="Arial" w:cs="Arial"/>
          <w:b/>
          <w:bCs/>
          <w:color w:val="0070C0"/>
          <w:sz w:val="24"/>
          <w:szCs w:val="24"/>
        </w:rPr>
        <w:t>14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Pr="00B81756">
        <w:rPr>
          <w:rFonts w:ascii="Arial" w:hAnsi="Arial" w:cs="Arial"/>
          <w:bCs/>
          <w:sz w:val="24"/>
          <w:szCs w:val="24"/>
        </w:rPr>
        <w:t xml:space="preserve">and </w:t>
      </w:r>
      <w:r w:rsidR="00E4013D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>houses are partially damaged</w:t>
      </w:r>
      <w:r w:rsidR="0006509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E4013D">
        <w:rPr>
          <w:rFonts w:ascii="Arial" w:hAnsi="Arial" w:cs="Arial"/>
          <w:color w:val="222222"/>
          <w:sz w:val="24"/>
          <w:szCs w:val="24"/>
        </w:rPr>
        <w:t>3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E4013D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1"/>
        <w:gridCol w:w="995"/>
        <w:gridCol w:w="1680"/>
        <w:gridCol w:w="1878"/>
      </w:tblGrid>
      <w:tr w:rsidR="00E4013D" w:rsidRPr="00E4013D" w:rsidTr="00E4013D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7407B3" w:rsidRPr="009C27FB" w:rsidRDefault="000A589F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15767" w:rsidRDefault="00E4230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4013D" w:rsidRDefault="00E4013D" w:rsidP="00F30C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Pr="000A589F" w:rsidRDefault="005204FD" w:rsidP="00811DB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1E287F">
        <w:rPr>
          <w:rFonts w:ascii="Arial" w:hAnsi="Arial" w:cs="Arial"/>
          <w:color w:val="222222"/>
          <w:sz w:val="24"/>
          <w:szCs w:val="24"/>
        </w:rPr>
        <w:t>5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  <w:bookmarkStart w:id="1" w:name="_GoBack"/>
      <w:bookmarkEnd w:id="1"/>
    </w:p>
    <w:p w:rsidR="00811DB1" w:rsidRPr="000A589F" w:rsidRDefault="000A589F" w:rsidP="000A589F">
      <w:pPr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D3EDF" w:rsidRPr="007D3E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173,638.50 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0A589F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0A589F">
        <w:rPr>
          <w:rFonts w:ascii="Arial" w:hAnsi="Arial" w:cs="Arial"/>
          <w:color w:val="222222"/>
          <w:sz w:val="24"/>
          <w:szCs w:val="24"/>
          <w:shd w:val="clear" w:color="auto" w:fill="FFFFFF"/>
        </w:rPr>
        <w:t> was provided to the affected families</w:t>
      </w:r>
      <w:r w:rsidR="007D3E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</w:t>
      </w:r>
      <w:r w:rsidR="007D3EDF" w:rsidRPr="000A589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D3E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1E287F" w:rsidRPr="000A589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1E287F" w:rsidRPr="000A589F">
        <w:rPr>
          <w:rFonts w:ascii="Arial" w:eastAsia="Times New Roman" w:hAnsi="Arial" w:cs="Arial"/>
          <w:bCs/>
          <w:sz w:val="24"/>
          <w:szCs w:val="24"/>
        </w:rPr>
        <w:t xml:space="preserve">(See table </w:t>
      </w:r>
      <w:r w:rsidR="00E4013D">
        <w:rPr>
          <w:rFonts w:ascii="Arial" w:eastAsia="Times New Roman" w:hAnsi="Arial" w:cs="Arial"/>
          <w:bCs/>
          <w:sz w:val="24"/>
          <w:szCs w:val="24"/>
        </w:rPr>
        <w:t>4</w:t>
      </w:r>
      <w:r w:rsidR="001E287F" w:rsidRPr="000A589F">
        <w:rPr>
          <w:rFonts w:ascii="Arial" w:eastAsia="Times New Roman" w:hAnsi="Arial" w:cs="Arial"/>
          <w:bCs/>
          <w:sz w:val="24"/>
          <w:szCs w:val="24"/>
        </w:rPr>
        <w:t>).</w:t>
      </w:r>
    </w:p>
    <w:p w:rsidR="00B81756" w:rsidRPr="000A589F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E4013D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34"/>
        <w:gridCol w:w="1088"/>
        <w:gridCol w:w="548"/>
        <w:gridCol w:w="663"/>
        <w:gridCol w:w="1009"/>
        <w:gridCol w:w="1088"/>
      </w:tblGrid>
      <w:tr w:rsidR="007D3EDF" w:rsidRPr="007D3EDF" w:rsidTr="007D3EDF">
        <w:trPr>
          <w:trHeight w:val="20"/>
        </w:trPr>
        <w:tc>
          <w:tcPr>
            <w:tcW w:w="260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vMerge/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7D3EDF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173,638.50 </w:t>
            </w:r>
          </w:p>
        </w:tc>
      </w:tr>
    </w:tbl>
    <w:p w:rsidR="002A0560" w:rsidRPr="009C27FB" w:rsidRDefault="00322A46" w:rsidP="002A0560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80B8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</w:t>
      </w:r>
      <w:r w:rsidR="002A056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A0560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A0560" w:rsidRDefault="002A0560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03617A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80B8A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11DB1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FA4DE3" w:rsidRDefault="00FA4DE3" w:rsidP="00FA4D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July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60A7" w:rsidRPr="00FA4DE3" w:rsidRDefault="00FA4DE3" w:rsidP="00FA4DE3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A6AE0">
              <w:rPr>
                <w:rFonts w:ascii="Arial" w:hAnsi="Arial" w:cs="Arial"/>
                <w:color w:val="0070C0"/>
                <w:sz w:val="20"/>
                <w:szCs w:val="20"/>
              </w:rPr>
              <w:t xml:space="preserve">FO CALABARZON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coordinating with LGU San Mateo for significant reports on the status of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affected families, assistance, and relief efforts.</w:t>
            </w:r>
          </w:p>
          <w:p w:rsidR="00FA4DE3" w:rsidRDefault="00FA4DE3" w:rsidP="00FA4DE3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The LGU has provided family food packs and hot meals to affected families.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DRMD is continuously coordinating with MSWDO San Mateo and provided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them technical assistance on the management of the consequences of the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A4DE3">
              <w:rPr>
                <w:rFonts w:ascii="Arial" w:hAnsi="Arial" w:cs="Arial"/>
                <w:color w:val="0070C0"/>
                <w:sz w:val="20"/>
                <w:szCs w:val="20"/>
              </w:rPr>
              <w:t>fire incident.</w:t>
            </w:r>
          </w:p>
          <w:p w:rsidR="00FA4DE3" w:rsidRPr="00FA4DE3" w:rsidRDefault="003A5D0C" w:rsidP="00FA4DE3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="00FA4DE3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FA4DE3" w:rsidRPr="00FA4DE3">
              <w:rPr>
                <w:rFonts w:ascii="Arial" w:hAnsi="Arial" w:cs="Arial"/>
                <w:color w:val="0070C0"/>
                <w:sz w:val="20"/>
                <w:szCs w:val="20"/>
              </w:rPr>
              <w:t>relief augme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ntation to the affected families</w:t>
            </w:r>
            <w:r w:rsidR="00FA4DE3" w:rsidRPr="00FA4DE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FA4DE3" w:rsidRPr="00FA4DE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680B8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680B8A">
        <w:rPr>
          <w:rFonts w:ascii="Arial" w:eastAsia="Arial" w:hAnsi="Arial" w:cs="Arial"/>
          <w:color w:val="263238"/>
          <w:sz w:val="24"/>
          <w:szCs w:val="24"/>
        </w:rPr>
        <w:t>Prepared by:</w:t>
      </w:r>
      <w:r>
        <w:rPr>
          <w:rFonts w:ascii="Arial" w:eastAsia="Arial" w:hAnsi="Arial" w:cs="Arial"/>
          <w:color w:val="263238"/>
          <w:sz w:val="24"/>
          <w:szCs w:val="24"/>
        </w:rPr>
        <w:t xml:space="preserve"> </w:t>
      </w: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03617A" w:rsidRDefault="0003617A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3617A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C27FB" w:rsidRPr="00680B8A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090C" w:rsidRPr="00680B8A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80B8A"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 w:rsidRPr="00680B8A">
        <w:rPr>
          <w:rFonts w:ascii="Arial" w:eastAsia="Arial" w:hAnsi="Arial" w:cs="Arial"/>
          <w:b/>
          <w:sz w:val="24"/>
          <w:szCs w:val="24"/>
        </w:rPr>
        <w:t xml:space="preserve">V. </w:t>
      </w:r>
      <w:r w:rsidRPr="00680B8A"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680B8A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80B8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680B8A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680B8A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FB" w:rsidRDefault="00A11BFB">
      <w:pPr>
        <w:spacing w:after="0" w:line="240" w:lineRule="auto"/>
      </w:pPr>
      <w:r>
        <w:separator/>
      </w:r>
    </w:p>
  </w:endnote>
  <w:endnote w:type="continuationSeparator" w:id="0">
    <w:p w:rsidR="00A11BFB" w:rsidRDefault="00A1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E401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02CF">
      <w:rPr>
        <w:b/>
        <w:sz w:val="16"/>
        <w:szCs w:val="16"/>
      </w:rPr>
      <w:fldChar w:fldCharType="separate"/>
    </w:r>
    <w:r w:rsidR="003A5D0C">
      <w:rPr>
        <w:b/>
        <w:noProof/>
        <w:sz w:val="16"/>
        <w:szCs w:val="16"/>
      </w:rPr>
      <w:t>2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02CF">
      <w:rPr>
        <w:b/>
        <w:sz w:val="16"/>
        <w:szCs w:val="16"/>
      </w:rPr>
      <w:fldChar w:fldCharType="separate"/>
    </w:r>
    <w:r w:rsidR="003A5D0C">
      <w:rPr>
        <w:b/>
        <w:noProof/>
        <w:sz w:val="16"/>
        <w:szCs w:val="16"/>
      </w:rPr>
      <w:t>2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4013D" w:rsidRPr="00E4013D">
      <w:rPr>
        <w:rFonts w:ascii="Arial" w:eastAsia="Arial" w:hAnsi="Arial" w:cs="Arial"/>
        <w:sz w:val="14"/>
        <w:szCs w:val="14"/>
      </w:rPr>
      <w:t xml:space="preserve">DSWD DROMIC </w:t>
    </w:r>
    <w:r w:rsidR="00E4013D">
      <w:rPr>
        <w:rFonts w:ascii="Arial" w:eastAsia="Arial" w:hAnsi="Arial" w:cs="Arial"/>
        <w:sz w:val="14"/>
        <w:szCs w:val="14"/>
      </w:rPr>
      <w:t xml:space="preserve">Report #1 on the Fire Incident </w:t>
    </w:r>
    <w:r w:rsidR="00E4013D" w:rsidRPr="00E4013D">
      <w:rPr>
        <w:rFonts w:ascii="Arial" w:eastAsia="Arial" w:hAnsi="Arial" w:cs="Arial"/>
        <w:sz w:val="14"/>
        <w:szCs w:val="14"/>
      </w:rPr>
      <w:t>in Bara</w:t>
    </w:r>
    <w:r w:rsidR="00E4013D">
      <w:rPr>
        <w:rFonts w:ascii="Arial" w:eastAsia="Arial" w:hAnsi="Arial" w:cs="Arial"/>
        <w:sz w:val="14"/>
        <w:szCs w:val="14"/>
      </w:rPr>
      <w:t xml:space="preserve">ngay </w:t>
    </w:r>
    <w:proofErr w:type="spellStart"/>
    <w:r w:rsidR="00E4013D">
      <w:rPr>
        <w:rFonts w:ascii="Arial" w:eastAsia="Arial" w:hAnsi="Arial" w:cs="Arial"/>
        <w:sz w:val="14"/>
        <w:szCs w:val="14"/>
      </w:rPr>
      <w:t>Silangan</w:t>
    </w:r>
    <w:proofErr w:type="spellEnd"/>
    <w:r w:rsidR="00E4013D">
      <w:rPr>
        <w:rFonts w:ascii="Arial" w:eastAsia="Arial" w:hAnsi="Arial" w:cs="Arial"/>
        <w:sz w:val="14"/>
        <w:szCs w:val="14"/>
      </w:rPr>
      <w:t xml:space="preserve">, San Mateo, Rizal </w:t>
    </w:r>
    <w:r w:rsidR="00E4013D" w:rsidRPr="00E4013D">
      <w:rPr>
        <w:rFonts w:ascii="Arial" w:eastAsia="Arial" w:hAnsi="Arial" w:cs="Arial"/>
        <w:sz w:val="14"/>
        <w:szCs w:val="14"/>
      </w:rPr>
      <w:t>as of 13 July 2019, 4PM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FB" w:rsidRDefault="00A11BFB">
      <w:pPr>
        <w:spacing w:after="0" w:line="240" w:lineRule="auto"/>
      </w:pPr>
      <w:r>
        <w:separator/>
      </w:r>
    </w:p>
  </w:footnote>
  <w:footnote w:type="continuationSeparator" w:id="0">
    <w:p w:rsidR="00A11BFB" w:rsidRDefault="00A1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B4216"/>
    <w:multiLevelType w:val="hybridMultilevel"/>
    <w:tmpl w:val="56CEA98E"/>
    <w:lvl w:ilvl="0" w:tplc="741231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E56EBC"/>
    <w:multiLevelType w:val="hybridMultilevel"/>
    <w:tmpl w:val="75BAF2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5E6C9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154FF"/>
    <w:rsid w:val="00033CD7"/>
    <w:rsid w:val="0003617A"/>
    <w:rsid w:val="00042FEB"/>
    <w:rsid w:val="00046FA7"/>
    <w:rsid w:val="00050766"/>
    <w:rsid w:val="00064AE3"/>
    <w:rsid w:val="0006509B"/>
    <w:rsid w:val="00077BEF"/>
    <w:rsid w:val="00083789"/>
    <w:rsid w:val="00096310"/>
    <w:rsid w:val="000A1CAA"/>
    <w:rsid w:val="000A589F"/>
    <w:rsid w:val="000A7762"/>
    <w:rsid w:val="000E38E9"/>
    <w:rsid w:val="000E5724"/>
    <w:rsid w:val="000F4719"/>
    <w:rsid w:val="00103995"/>
    <w:rsid w:val="001149A2"/>
    <w:rsid w:val="00115767"/>
    <w:rsid w:val="00124BC5"/>
    <w:rsid w:val="00135103"/>
    <w:rsid w:val="001560A7"/>
    <w:rsid w:val="00164610"/>
    <w:rsid w:val="00167253"/>
    <w:rsid w:val="001847A6"/>
    <w:rsid w:val="00186433"/>
    <w:rsid w:val="001A6AE0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A3DEF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96C50"/>
    <w:rsid w:val="003A3202"/>
    <w:rsid w:val="003A43B1"/>
    <w:rsid w:val="003A5D0C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76512"/>
    <w:rsid w:val="004A3134"/>
    <w:rsid w:val="004A4E86"/>
    <w:rsid w:val="004A6BC6"/>
    <w:rsid w:val="004B6643"/>
    <w:rsid w:val="004C3288"/>
    <w:rsid w:val="004C3428"/>
    <w:rsid w:val="004C4558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80B8A"/>
    <w:rsid w:val="0069788A"/>
    <w:rsid w:val="006A6903"/>
    <w:rsid w:val="006B5642"/>
    <w:rsid w:val="006C7E5F"/>
    <w:rsid w:val="006F0106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73B64"/>
    <w:rsid w:val="00780997"/>
    <w:rsid w:val="00794E33"/>
    <w:rsid w:val="007B50B5"/>
    <w:rsid w:val="007B7DAC"/>
    <w:rsid w:val="007D3EDF"/>
    <w:rsid w:val="007D6598"/>
    <w:rsid w:val="007D6982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D7E8A"/>
    <w:rsid w:val="008E4068"/>
    <w:rsid w:val="008F1FFB"/>
    <w:rsid w:val="00901E90"/>
    <w:rsid w:val="009112F7"/>
    <w:rsid w:val="0091510D"/>
    <w:rsid w:val="00927484"/>
    <w:rsid w:val="009279A3"/>
    <w:rsid w:val="00935E30"/>
    <w:rsid w:val="00940AB6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11BFB"/>
    <w:rsid w:val="00A23126"/>
    <w:rsid w:val="00A378BB"/>
    <w:rsid w:val="00A46394"/>
    <w:rsid w:val="00A611B9"/>
    <w:rsid w:val="00A63054"/>
    <w:rsid w:val="00A820CC"/>
    <w:rsid w:val="00A8218F"/>
    <w:rsid w:val="00A85553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BF2033"/>
    <w:rsid w:val="00C018FB"/>
    <w:rsid w:val="00C039EE"/>
    <w:rsid w:val="00C130A8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02CF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4013D"/>
    <w:rsid w:val="00E418EA"/>
    <w:rsid w:val="00E42306"/>
    <w:rsid w:val="00E476B6"/>
    <w:rsid w:val="00E56227"/>
    <w:rsid w:val="00E56999"/>
    <w:rsid w:val="00E61857"/>
    <w:rsid w:val="00E73E7B"/>
    <w:rsid w:val="00E755D3"/>
    <w:rsid w:val="00E8312E"/>
    <w:rsid w:val="00E84DD7"/>
    <w:rsid w:val="00E97EC4"/>
    <w:rsid w:val="00EC1834"/>
    <w:rsid w:val="00ED5D30"/>
    <w:rsid w:val="00EE646E"/>
    <w:rsid w:val="00EF0E3A"/>
    <w:rsid w:val="00EF2BE1"/>
    <w:rsid w:val="00EF34B8"/>
    <w:rsid w:val="00F30C11"/>
    <w:rsid w:val="00F460E8"/>
    <w:rsid w:val="00F63AF5"/>
    <w:rsid w:val="00F75D3D"/>
    <w:rsid w:val="00FA4DE3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B97F"/>
  <w15:docId w15:val="{F9C50F25-1977-4A97-9A52-7A01A26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A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61D-5AE7-4C0A-8443-4799204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4</cp:revision>
  <dcterms:created xsi:type="dcterms:W3CDTF">2019-07-13T08:04:00Z</dcterms:created>
  <dcterms:modified xsi:type="dcterms:W3CDTF">2019-07-13T08:07:00Z</dcterms:modified>
</cp:coreProperties>
</file>