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7878420" w14:textId="78EBCCFC" w:rsidR="00C46A8D" w:rsidRPr="00305E00" w:rsidRDefault="00C46A8D" w:rsidP="00305E00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305E00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F779E2" w:rsidRPr="00305E00">
        <w:rPr>
          <w:rFonts w:ascii="Arial" w:eastAsia="Arial" w:hAnsi="Arial" w:cs="Arial"/>
          <w:b/>
          <w:sz w:val="32"/>
          <w:szCs w:val="24"/>
        </w:rPr>
        <w:t>Report #</w:t>
      </w:r>
      <w:r w:rsidR="005A345D" w:rsidRPr="00305E00">
        <w:rPr>
          <w:rFonts w:ascii="Arial" w:eastAsia="Arial" w:hAnsi="Arial" w:cs="Arial"/>
          <w:b/>
          <w:sz w:val="32"/>
          <w:szCs w:val="24"/>
        </w:rPr>
        <w:t>2</w:t>
      </w:r>
    </w:p>
    <w:p w14:paraId="74E468D5" w14:textId="13C54A2E" w:rsidR="00C46A8D" w:rsidRPr="00305E00" w:rsidRDefault="00C46A8D" w:rsidP="00305E00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305E00">
        <w:rPr>
          <w:rFonts w:ascii="Arial" w:eastAsia="Arial" w:hAnsi="Arial" w:cs="Arial"/>
          <w:b/>
          <w:sz w:val="32"/>
          <w:szCs w:val="24"/>
        </w:rPr>
        <w:t>on</w:t>
      </w:r>
      <w:proofErr w:type="gramEnd"/>
      <w:r w:rsidRPr="00305E00">
        <w:rPr>
          <w:rFonts w:ascii="Arial" w:eastAsia="Arial" w:hAnsi="Arial" w:cs="Arial"/>
          <w:b/>
          <w:sz w:val="32"/>
          <w:szCs w:val="24"/>
        </w:rPr>
        <w:t xml:space="preserve"> the Earthquake Incident in </w:t>
      </w:r>
      <w:proofErr w:type="spellStart"/>
      <w:r w:rsidR="00C23935" w:rsidRPr="00305E00">
        <w:rPr>
          <w:rFonts w:ascii="Arial" w:eastAsia="Arial" w:hAnsi="Arial" w:cs="Arial"/>
          <w:b/>
          <w:sz w:val="32"/>
          <w:szCs w:val="24"/>
        </w:rPr>
        <w:t>Itbayat</w:t>
      </w:r>
      <w:proofErr w:type="spellEnd"/>
      <w:r w:rsidR="00C23935" w:rsidRPr="00305E00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C23935" w:rsidRPr="00305E00">
        <w:rPr>
          <w:rFonts w:ascii="Arial" w:eastAsia="Arial" w:hAnsi="Arial" w:cs="Arial"/>
          <w:b/>
          <w:sz w:val="32"/>
          <w:szCs w:val="24"/>
        </w:rPr>
        <w:t>Batanes</w:t>
      </w:r>
      <w:proofErr w:type="spellEnd"/>
    </w:p>
    <w:p w14:paraId="24E47358" w14:textId="115353E7" w:rsidR="00C46A8D" w:rsidRPr="00305E00" w:rsidRDefault="00F779E2" w:rsidP="00305E00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305E00">
        <w:rPr>
          <w:rFonts w:ascii="Arial" w:eastAsia="Arial" w:hAnsi="Arial" w:cs="Arial"/>
          <w:sz w:val="24"/>
          <w:szCs w:val="24"/>
        </w:rPr>
        <w:t>as</w:t>
      </w:r>
      <w:proofErr w:type="gramEnd"/>
      <w:r w:rsidRPr="00305E00">
        <w:rPr>
          <w:rFonts w:ascii="Arial" w:eastAsia="Arial" w:hAnsi="Arial" w:cs="Arial"/>
          <w:sz w:val="24"/>
          <w:szCs w:val="24"/>
        </w:rPr>
        <w:t xml:space="preserve"> of </w:t>
      </w:r>
      <w:r w:rsidR="005A345D" w:rsidRPr="00305E00">
        <w:rPr>
          <w:rFonts w:ascii="Arial" w:eastAsia="Arial" w:hAnsi="Arial" w:cs="Arial"/>
          <w:sz w:val="24"/>
          <w:szCs w:val="24"/>
        </w:rPr>
        <w:t>28</w:t>
      </w:r>
      <w:r w:rsidR="00C85CDD" w:rsidRPr="00305E00">
        <w:rPr>
          <w:rFonts w:ascii="Arial" w:eastAsia="Arial" w:hAnsi="Arial" w:cs="Arial"/>
          <w:sz w:val="24"/>
          <w:szCs w:val="24"/>
        </w:rPr>
        <w:t xml:space="preserve"> July</w:t>
      </w:r>
      <w:r w:rsidRPr="00305E00">
        <w:rPr>
          <w:rFonts w:ascii="Arial" w:eastAsia="Arial" w:hAnsi="Arial" w:cs="Arial"/>
          <w:sz w:val="24"/>
          <w:szCs w:val="24"/>
        </w:rPr>
        <w:t xml:space="preserve"> 2019, </w:t>
      </w:r>
      <w:r w:rsidR="003051AC" w:rsidRPr="00305E00">
        <w:rPr>
          <w:rFonts w:ascii="Arial" w:eastAsia="Arial" w:hAnsi="Arial" w:cs="Arial"/>
          <w:sz w:val="24"/>
          <w:szCs w:val="24"/>
        </w:rPr>
        <w:t>4</w:t>
      </w:r>
      <w:r w:rsidR="005A345D" w:rsidRPr="00305E00">
        <w:rPr>
          <w:rFonts w:ascii="Arial" w:eastAsia="Arial" w:hAnsi="Arial" w:cs="Arial"/>
          <w:sz w:val="24"/>
          <w:szCs w:val="24"/>
        </w:rPr>
        <w:t>A</w:t>
      </w:r>
      <w:r w:rsidR="005C6857" w:rsidRPr="00305E00">
        <w:rPr>
          <w:rFonts w:ascii="Arial" w:eastAsia="Arial" w:hAnsi="Arial" w:cs="Arial"/>
          <w:sz w:val="24"/>
          <w:szCs w:val="24"/>
        </w:rPr>
        <w:t>M</w:t>
      </w:r>
    </w:p>
    <w:p w14:paraId="62895F23" w14:textId="77777777" w:rsidR="003051AC" w:rsidRPr="00305E00" w:rsidRDefault="003051AC" w:rsidP="00305E00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4596B23" w14:textId="60A5307D" w:rsidR="004E1525" w:rsidRPr="00305E00" w:rsidRDefault="003051AC" w:rsidP="00305E00">
      <w:pPr>
        <w:pStyle w:val="Heading1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  <w:r w:rsidRPr="00305E0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FCF691" wp14:editId="4FCCAC03">
            <wp:simplePos x="0" y="0"/>
            <wp:positionH relativeFrom="column">
              <wp:posOffset>2671445</wp:posOffset>
            </wp:positionH>
            <wp:positionV relativeFrom="paragraph">
              <wp:posOffset>268605</wp:posOffset>
            </wp:positionV>
            <wp:extent cx="3543935" cy="21704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PICENTRAL 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9BF46" w14:textId="5382EC04" w:rsidR="00C46A8D" w:rsidRPr="00305E00" w:rsidRDefault="00C46A8D" w:rsidP="00305E00">
      <w:pPr>
        <w:pStyle w:val="Heading1"/>
        <w:spacing w:before="0" w:after="0"/>
        <w:contextualSpacing/>
        <w:rPr>
          <w:rFonts w:ascii="Arial" w:eastAsia="Arial" w:hAnsi="Arial" w:cs="Arial"/>
          <w:sz w:val="28"/>
          <w:szCs w:val="24"/>
        </w:rPr>
      </w:pPr>
      <w:r w:rsidRPr="00305E00">
        <w:rPr>
          <w:rFonts w:ascii="Arial" w:eastAsia="Arial" w:hAnsi="Arial" w:cs="Arial"/>
          <w:color w:val="002060"/>
          <w:sz w:val="28"/>
          <w:szCs w:val="24"/>
        </w:rPr>
        <w:t>Situation Overview</w:t>
      </w:r>
    </w:p>
    <w:p w14:paraId="72A2F380" w14:textId="78622A0F" w:rsidR="00C23935" w:rsidRPr="00305E00" w:rsidRDefault="00C23935" w:rsidP="00305E0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0B23F852" w14:textId="1470CFC1" w:rsidR="00C46A8D" w:rsidRPr="00305E00" w:rsidRDefault="00C23935" w:rsidP="00305E0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05E00">
        <w:rPr>
          <w:rFonts w:ascii="Arial" w:hAnsi="Arial" w:cs="Arial"/>
          <w:sz w:val="24"/>
          <w:szCs w:val="24"/>
        </w:rPr>
        <w:t xml:space="preserve">On 27 </w:t>
      </w:r>
      <w:r w:rsidR="004C5FC5" w:rsidRPr="00305E00">
        <w:rPr>
          <w:rFonts w:ascii="Arial" w:hAnsi="Arial" w:cs="Arial"/>
          <w:sz w:val="24"/>
          <w:szCs w:val="24"/>
        </w:rPr>
        <w:t>July 2019 at 4:</w:t>
      </w:r>
      <w:r w:rsidRPr="00305E00">
        <w:rPr>
          <w:rFonts w:ascii="Arial" w:hAnsi="Arial" w:cs="Arial"/>
          <w:sz w:val="24"/>
          <w:szCs w:val="24"/>
        </w:rPr>
        <w:t>16 AM, a 5.4</w:t>
      </w:r>
      <w:r w:rsidR="00D72083" w:rsidRPr="00305E00">
        <w:rPr>
          <w:rFonts w:ascii="Arial" w:hAnsi="Arial" w:cs="Arial"/>
          <w:sz w:val="24"/>
          <w:szCs w:val="24"/>
        </w:rPr>
        <w:t xml:space="preserve"> magnitude earthquake jolt</w:t>
      </w:r>
      <w:r w:rsidRPr="00305E00">
        <w:rPr>
          <w:rFonts w:ascii="Arial" w:hAnsi="Arial" w:cs="Arial"/>
          <w:sz w:val="24"/>
          <w:szCs w:val="24"/>
        </w:rPr>
        <w:t xml:space="preserve">ed the municipality of </w:t>
      </w:r>
      <w:proofErr w:type="spellStart"/>
      <w:r w:rsidRPr="00305E00">
        <w:rPr>
          <w:rFonts w:ascii="Arial" w:hAnsi="Arial" w:cs="Arial"/>
          <w:sz w:val="24"/>
          <w:szCs w:val="24"/>
        </w:rPr>
        <w:t>Itbayat</w:t>
      </w:r>
      <w:proofErr w:type="spellEnd"/>
      <w:r w:rsidR="00D72083" w:rsidRPr="00305E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5E00">
        <w:rPr>
          <w:rFonts w:ascii="Arial" w:hAnsi="Arial" w:cs="Arial"/>
          <w:sz w:val="24"/>
          <w:szCs w:val="24"/>
        </w:rPr>
        <w:t>Batanes</w:t>
      </w:r>
      <w:proofErr w:type="spellEnd"/>
      <w:r w:rsidR="00D72083" w:rsidRPr="00305E00">
        <w:rPr>
          <w:rFonts w:ascii="Arial" w:hAnsi="Arial" w:cs="Arial"/>
          <w:sz w:val="24"/>
          <w:szCs w:val="24"/>
        </w:rPr>
        <w:t xml:space="preserve"> (</w:t>
      </w:r>
      <w:r w:rsidRPr="00305E00">
        <w:rPr>
          <w:rFonts w:ascii="Arial" w:hAnsi="Arial" w:cs="Arial"/>
          <w:sz w:val="24"/>
          <w:szCs w:val="24"/>
        </w:rPr>
        <w:t>2</w:t>
      </w:r>
      <w:r w:rsidR="00305E00" w:rsidRPr="00305E00">
        <w:rPr>
          <w:rFonts w:ascii="Arial" w:hAnsi="Arial" w:cs="Arial"/>
          <w:sz w:val="24"/>
          <w:szCs w:val="24"/>
        </w:rPr>
        <w:t>0.90°N, 121.85°E - 012 km N 04°</w:t>
      </w:r>
      <w:r w:rsidRPr="00305E00">
        <w:rPr>
          <w:rFonts w:ascii="Arial" w:hAnsi="Arial" w:cs="Arial"/>
          <w:sz w:val="24"/>
          <w:szCs w:val="24"/>
        </w:rPr>
        <w:t>E</w:t>
      </w:r>
      <w:r w:rsidR="00D72083" w:rsidRPr="00305E00">
        <w:rPr>
          <w:rFonts w:ascii="Arial" w:hAnsi="Arial" w:cs="Arial"/>
          <w:sz w:val="24"/>
          <w:szCs w:val="24"/>
        </w:rPr>
        <w:t xml:space="preserve">) with a tectonic </w:t>
      </w:r>
      <w:r w:rsidRPr="00305E00">
        <w:rPr>
          <w:rFonts w:ascii="Arial" w:hAnsi="Arial" w:cs="Arial"/>
          <w:sz w:val="24"/>
          <w:szCs w:val="24"/>
        </w:rPr>
        <w:t xml:space="preserve">origin and a depth of focus of 12 </w:t>
      </w:r>
      <w:r w:rsidR="00D72083" w:rsidRPr="00305E00">
        <w:rPr>
          <w:rFonts w:ascii="Arial" w:hAnsi="Arial" w:cs="Arial"/>
          <w:sz w:val="24"/>
          <w:szCs w:val="24"/>
        </w:rPr>
        <w:t xml:space="preserve">km. The earthquake was also felt in the neighboring municipalities of </w:t>
      </w:r>
      <w:proofErr w:type="spellStart"/>
      <w:r w:rsidRPr="00305E00">
        <w:rPr>
          <w:rFonts w:ascii="Arial" w:hAnsi="Arial" w:cs="Arial"/>
          <w:sz w:val="24"/>
          <w:szCs w:val="24"/>
        </w:rPr>
        <w:t>Batanes</w:t>
      </w:r>
      <w:proofErr w:type="spellEnd"/>
      <w:r w:rsidRPr="00305E00">
        <w:rPr>
          <w:rFonts w:ascii="Arial" w:hAnsi="Arial" w:cs="Arial"/>
          <w:sz w:val="24"/>
          <w:szCs w:val="24"/>
        </w:rPr>
        <w:t>.</w:t>
      </w:r>
    </w:p>
    <w:p w14:paraId="75CD8660" w14:textId="7CBAC72F" w:rsidR="004E1525" w:rsidRPr="00305E00" w:rsidRDefault="004E1525" w:rsidP="00305E0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47844E5" w14:textId="7F72A559" w:rsidR="003051AC" w:rsidRPr="00305E00" w:rsidRDefault="003051AC" w:rsidP="00305E0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C3E41D6" w14:textId="77777777" w:rsidR="003051AC" w:rsidRPr="00305E00" w:rsidRDefault="003051AC" w:rsidP="00305E0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009"/>
        <w:gridCol w:w="6728"/>
      </w:tblGrid>
      <w:tr w:rsidR="004E6F82" w:rsidRPr="00305E00" w14:paraId="3AEED421" w14:textId="77777777" w:rsidTr="00305E00">
        <w:trPr>
          <w:trHeight w:val="20"/>
        </w:trPr>
        <w:tc>
          <w:tcPr>
            <w:tcW w:w="1545" w:type="pct"/>
          </w:tcPr>
          <w:p w14:paraId="17AAB0EE" w14:textId="32B9FB92" w:rsidR="004E6F82" w:rsidRPr="00305E00" w:rsidRDefault="004C5FC5" w:rsidP="00305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305E00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Date</w:t>
            </w:r>
            <w:r w:rsidR="00F9024E" w:rsidRPr="00305E00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/Time</w:t>
            </w:r>
            <w:r w:rsidRPr="00305E00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:</w:t>
            </w:r>
          </w:p>
        </w:tc>
        <w:tc>
          <w:tcPr>
            <w:tcW w:w="3455" w:type="pct"/>
          </w:tcPr>
          <w:p w14:paraId="1B0C1E30" w14:textId="57AEA357" w:rsidR="004E6F82" w:rsidRPr="00305E00" w:rsidRDefault="00C23935" w:rsidP="00305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305E00">
              <w:rPr>
                <w:rFonts w:ascii="Arial" w:eastAsia="Arial" w:hAnsi="Arial" w:cs="Arial"/>
                <w:color w:val="000000"/>
                <w:sz w:val="20"/>
                <w:szCs w:val="24"/>
              </w:rPr>
              <w:t>27</w:t>
            </w:r>
            <w:r w:rsidR="00F9024E" w:rsidRPr="00305E0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Jul 2019 - </w:t>
            </w:r>
            <w:r w:rsidRPr="00305E00">
              <w:rPr>
                <w:rFonts w:ascii="Arial" w:eastAsia="Arial" w:hAnsi="Arial" w:cs="Arial"/>
                <w:color w:val="000000"/>
                <w:sz w:val="20"/>
                <w:szCs w:val="24"/>
              </w:rPr>
              <w:t>04:16:54 AM</w:t>
            </w:r>
          </w:p>
        </w:tc>
      </w:tr>
      <w:tr w:rsidR="00D72083" w:rsidRPr="00305E00" w14:paraId="11BC50E0" w14:textId="77777777" w:rsidTr="00305E00">
        <w:trPr>
          <w:trHeight w:val="1144"/>
        </w:trPr>
        <w:tc>
          <w:tcPr>
            <w:tcW w:w="1545" w:type="pct"/>
            <w:shd w:val="clear" w:color="auto" w:fill="FFFFFF"/>
          </w:tcPr>
          <w:p w14:paraId="66E3BC4A" w14:textId="20F611F6" w:rsidR="00D72083" w:rsidRPr="00305E00" w:rsidRDefault="00D72083" w:rsidP="00305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305E00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Reported Intensities:</w:t>
            </w:r>
          </w:p>
          <w:p w14:paraId="49BB5825" w14:textId="77777777" w:rsidR="00D72083" w:rsidRPr="00305E00" w:rsidRDefault="00D72083" w:rsidP="00305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305E00">
              <w:rPr>
                <w:rFonts w:ascii="Arial" w:eastAsia="Arial" w:hAnsi="Arial" w:cs="Arial"/>
                <w:color w:val="000000"/>
                <w:sz w:val="20"/>
                <w:szCs w:val="24"/>
              </w:rPr>
              <w:t> </w:t>
            </w:r>
          </w:p>
          <w:p w14:paraId="3331678C" w14:textId="77777777" w:rsidR="00D72083" w:rsidRPr="00305E00" w:rsidRDefault="00D72083" w:rsidP="00305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305E00">
              <w:rPr>
                <w:rFonts w:ascii="Arial" w:eastAsia="Arial" w:hAnsi="Arial" w:cs="Arial"/>
                <w:color w:val="000000"/>
                <w:sz w:val="20"/>
                <w:szCs w:val="24"/>
              </w:rPr>
              <w:t> </w:t>
            </w:r>
          </w:p>
          <w:p w14:paraId="703CDEC9" w14:textId="69863ECA" w:rsidR="00D72083" w:rsidRPr="00305E00" w:rsidRDefault="00D72083" w:rsidP="00305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455" w:type="pct"/>
            <w:shd w:val="clear" w:color="auto" w:fill="FFFFFF"/>
          </w:tcPr>
          <w:p w14:paraId="597CD23A" w14:textId="77777777" w:rsidR="00C23935" w:rsidRPr="00305E00" w:rsidRDefault="00C23935" w:rsidP="00305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305E0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VI - </w:t>
            </w:r>
            <w:proofErr w:type="spellStart"/>
            <w:r w:rsidRPr="00305E00">
              <w:rPr>
                <w:rFonts w:ascii="Arial" w:eastAsia="Arial" w:hAnsi="Arial" w:cs="Arial"/>
                <w:color w:val="000000"/>
                <w:sz w:val="20"/>
                <w:szCs w:val="24"/>
              </w:rPr>
              <w:t>Itbayat</w:t>
            </w:r>
            <w:proofErr w:type="spellEnd"/>
            <w:r w:rsidRPr="00305E0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305E00">
              <w:rPr>
                <w:rFonts w:ascii="Arial" w:eastAsia="Arial" w:hAnsi="Arial" w:cs="Arial"/>
                <w:color w:val="000000"/>
                <w:sz w:val="20"/>
                <w:szCs w:val="24"/>
              </w:rPr>
              <w:t>Batanes</w:t>
            </w:r>
            <w:proofErr w:type="spellEnd"/>
          </w:p>
          <w:p w14:paraId="2499D49D" w14:textId="77777777" w:rsidR="00C23935" w:rsidRPr="00305E00" w:rsidRDefault="00C23935" w:rsidP="00305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305E0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III - </w:t>
            </w:r>
            <w:proofErr w:type="spellStart"/>
            <w:r w:rsidRPr="00305E00">
              <w:rPr>
                <w:rFonts w:ascii="Arial" w:eastAsia="Arial" w:hAnsi="Arial" w:cs="Arial"/>
                <w:color w:val="000000"/>
                <w:sz w:val="20"/>
                <w:szCs w:val="24"/>
              </w:rPr>
              <w:t>Basco</w:t>
            </w:r>
            <w:proofErr w:type="spellEnd"/>
            <w:r w:rsidRPr="00305E0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and </w:t>
            </w:r>
            <w:proofErr w:type="spellStart"/>
            <w:r w:rsidRPr="00305E00">
              <w:rPr>
                <w:rFonts w:ascii="Arial" w:eastAsia="Arial" w:hAnsi="Arial" w:cs="Arial"/>
                <w:color w:val="000000"/>
                <w:sz w:val="20"/>
                <w:szCs w:val="24"/>
              </w:rPr>
              <w:t>Sabtang</w:t>
            </w:r>
            <w:proofErr w:type="spellEnd"/>
            <w:r w:rsidRPr="00305E0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305E00">
              <w:rPr>
                <w:rFonts w:ascii="Arial" w:eastAsia="Arial" w:hAnsi="Arial" w:cs="Arial"/>
                <w:color w:val="000000"/>
                <w:sz w:val="20"/>
                <w:szCs w:val="24"/>
              </w:rPr>
              <w:t>Batanes</w:t>
            </w:r>
            <w:proofErr w:type="spellEnd"/>
          </w:p>
          <w:p w14:paraId="3C7E40D6" w14:textId="77777777" w:rsidR="00C23935" w:rsidRPr="00305E00" w:rsidRDefault="00C23935" w:rsidP="00305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  <w:p w14:paraId="528A1540" w14:textId="77777777" w:rsidR="00C23935" w:rsidRPr="00305E00" w:rsidRDefault="00C23935" w:rsidP="00305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305E00">
              <w:rPr>
                <w:rFonts w:ascii="Arial" w:eastAsia="Arial" w:hAnsi="Arial" w:cs="Arial"/>
                <w:color w:val="000000"/>
                <w:sz w:val="20"/>
                <w:szCs w:val="24"/>
              </w:rPr>
              <w:t>Instrumental Intensity:</w:t>
            </w:r>
          </w:p>
          <w:p w14:paraId="2873A704" w14:textId="4541610A" w:rsidR="00D72083" w:rsidRPr="00305E00" w:rsidRDefault="00C23935" w:rsidP="00305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305E0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III - </w:t>
            </w:r>
            <w:proofErr w:type="spellStart"/>
            <w:r w:rsidRPr="00305E00">
              <w:rPr>
                <w:rFonts w:ascii="Arial" w:eastAsia="Arial" w:hAnsi="Arial" w:cs="Arial"/>
                <w:color w:val="000000"/>
                <w:sz w:val="20"/>
                <w:szCs w:val="24"/>
              </w:rPr>
              <w:t>Basco</w:t>
            </w:r>
            <w:proofErr w:type="spellEnd"/>
            <w:r w:rsidRPr="00305E0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305E00">
              <w:rPr>
                <w:rFonts w:ascii="Arial" w:eastAsia="Arial" w:hAnsi="Arial" w:cs="Arial"/>
                <w:color w:val="000000"/>
                <w:sz w:val="20"/>
                <w:szCs w:val="24"/>
              </w:rPr>
              <w:t>Batanes</w:t>
            </w:r>
            <w:proofErr w:type="spellEnd"/>
          </w:p>
        </w:tc>
      </w:tr>
      <w:tr w:rsidR="004E6F82" w:rsidRPr="00305E00" w14:paraId="57E68B1C" w14:textId="77777777" w:rsidTr="00305E00">
        <w:trPr>
          <w:trHeight w:val="20"/>
        </w:trPr>
        <w:tc>
          <w:tcPr>
            <w:tcW w:w="1545" w:type="pct"/>
          </w:tcPr>
          <w:p w14:paraId="774CD4C5" w14:textId="77777777" w:rsidR="004E6F82" w:rsidRPr="00305E00" w:rsidRDefault="004E6F82" w:rsidP="00305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305E00">
              <w:rPr>
                <w:rFonts w:ascii="Arial" w:eastAsia="Arial" w:hAnsi="Arial" w:cs="Arial"/>
                <w:color w:val="000000"/>
                <w:sz w:val="20"/>
                <w:szCs w:val="24"/>
              </w:rPr>
              <w:t>Expecting Damage:</w:t>
            </w:r>
          </w:p>
        </w:tc>
        <w:tc>
          <w:tcPr>
            <w:tcW w:w="3455" w:type="pct"/>
          </w:tcPr>
          <w:p w14:paraId="598B8127" w14:textId="77777777" w:rsidR="004E6F82" w:rsidRPr="00305E00" w:rsidRDefault="004E6F82" w:rsidP="00305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305E00">
              <w:rPr>
                <w:rFonts w:ascii="Arial" w:eastAsia="Arial" w:hAnsi="Arial" w:cs="Arial"/>
                <w:color w:val="000000"/>
                <w:sz w:val="20"/>
                <w:szCs w:val="24"/>
              </w:rPr>
              <w:t>YES</w:t>
            </w:r>
          </w:p>
        </w:tc>
      </w:tr>
      <w:tr w:rsidR="004E6F82" w:rsidRPr="00305E00" w14:paraId="788D4C18" w14:textId="77777777" w:rsidTr="00305E00">
        <w:trPr>
          <w:trHeight w:val="20"/>
        </w:trPr>
        <w:tc>
          <w:tcPr>
            <w:tcW w:w="1545" w:type="pct"/>
          </w:tcPr>
          <w:p w14:paraId="42739820" w14:textId="77777777" w:rsidR="004E6F82" w:rsidRPr="00305E00" w:rsidRDefault="004E6F82" w:rsidP="00305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305E00">
              <w:rPr>
                <w:rFonts w:ascii="Arial" w:eastAsia="Arial" w:hAnsi="Arial" w:cs="Arial"/>
                <w:color w:val="000000"/>
                <w:sz w:val="20"/>
                <w:szCs w:val="24"/>
              </w:rPr>
              <w:t>Expecting Aftershocks:</w:t>
            </w:r>
          </w:p>
        </w:tc>
        <w:tc>
          <w:tcPr>
            <w:tcW w:w="3455" w:type="pct"/>
          </w:tcPr>
          <w:p w14:paraId="679FCD21" w14:textId="77777777" w:rsidR="004E6F82" w:rsidRPr="00305E00" w:rsidRDefault="004E6F82" w:rsidP="00305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305E00">
              <w:rPr>
                <w:rFonts w:ascii="Arial" w:eastAsia="Arial" w:hAnsi="Arial" w:cs="Arial"/>
                <w:color w:val="000000"/>
                <w:sz w:val="20"/>
                <w:szCs w:val="24"/>
              </w:rPr>
              <w:t>YES</w:t>
            </w:r>
          </w:p>
        </w:tc>
      </w:tr>
    </w:tbl>
    <w:p w14:paraId="2A69A4D7" w14:textId="2BF13CA8" w:rsidR="00F821A6" w:rsidRPr="00305E00" w:rsidRDefault="00C46A8D" w:rsidP="00305E0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05E00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hyperlink r:id="rId9">
        <w:r w:rsidRPr="00305E00">
          <w:rPr>
            <w:rFonts w:ascii="Arial" w:eastAsia="Arial" w:hAnsi="Arial" w:cs="Arial"/>
            <w:i/>
            <w:color w:val="0070C0"/>
            <w:sz w:val="16"/>
            <w:szCs w:val="24"/>
          </w:rPr>
          <w:t>DOST-PHIVOLCS Earthquake Bulletin</w:t>
        </w:r>
      </w:hyperlink>
    </w:p>
    <w:p w14:paraId="694287AE" w14:textId="77777777" w:rsidR="003051AC" w:rsidRPr="00305E00" w:rsidRDefault="003051AC" w:rsidP="00305E0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74C96CB" w14:textId="77777777" w:rsidR="00305E00" w:rsidRPr="00305E00" w:rsidRDefault="00305E00" w:rsidP="00305E00">
      <w:pPr>
        <w:widowControl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</w:p>
    <w:p w14:paraId="29740985" w14:textId="5C247C15" w:rsidR="001A1BF0" w:rsidRPr="00305E00" w:rsidRDefault="00F779E2" w:rsidP="00305E00">
      <w:pPr>
        <w:pStyle w:val="ListParagraph"/>
        <w:widowControl/>
        <w:numPr>
          <w:ilvl w:val="0"/>
          <w:numId w:val="29"/>
        </w:numPr>
        <w:spacing w:after="0" w:line="240" w:lineRule="auto"/>
        <w:ind w:left="284" w:hanging="284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305E00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 of Affected Families / Persons</w:t>
      </w:r>
    </w:p>
    <w:p w14:paraId="12CC00DB" w14:textId="0EA8E1B5" w:rsidR="00F779E2" w:rsidRPr="00305E00" w:rsidRDefault="0042754A" w:rsidP="00305E00">
      <w:pPr>
        <w:widowControl/>
        <w:spacing w:after="0" w:line="240" w:lineRule="auto"/>
        <w:ind w:left="27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05E00">
        <w:rPr>
          <w:rFonts w:ascii="Arial" w:eastAsia="Times New Roman" w:hAnsi="Arial" w:cs="Arial"/>
          <w:bCs/>
          <w:sz w:val="24"/>
          <w:szCs w:val="24"/>
        </w:rPr>
        <w:t>A total of</w:t>
      </w:r>
      <w:r w:rsidRPr="00305E0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91BCF" w:rsidRPr="00305E00">
        <w:rPr>
          <w:rFonts w:ascii="Arial" w:eastAsia="Times New Roman" w:hAnsi="Arial" w:cs="Arial"/>
          <w:b/>
          <w:bCs/>
          <w:sz w:val="24"/>
          <w:szCs w:val="24"/>
        </w:rPr>
        <w:t>911</w:t>
      </w:r>
      <w:r w:rsidR="00F779E2" w:rsidRPr="00305E00">
        <w:rPr>
          <w:rFonts w:ascii="Arial" w:eastAsia="Times New Roman" w:hAnsi="Arial" w:cs="Arial"/>
          <w:b/>
          <w:bCs/>
          <w:sz w:val="24"/>
          <w:szCs w:val="24"/>
        </w:rPr>
        <w:t xml:space="preserve"> families</w:t>
      </w:r>
      <w:r w:rsidR="00F779E2" w:rsidRPr="00305E00">
        <w:rPr>
          <w:rFonts w:ascii="Arial" w:eastAsia="Times New Roman" w:hAnsi="Arial" w:cs="Arial"/>
          <w:sz w:val="24"/>
          <w:szCs w:val="24"/>
        </w:rPr>
        <w:t xml:space="preserve"> or </w:t>
      </w:r>
      <w:r w:rsidR="00F91BCF" w:rsidRPr="00305E00">
        <w:rPr>
          <w:rFonts w:ascii="Arial" w:eastAsia="Times New Roman" w:hAnsi="Arial" w:cs="Arial"/>
          <w:b/>
          <w:bCs/>
          <w:sz w:val="24"/>
          <w:szCs w:val="24"/>
        </w:rPr>
        <w:t>2,963</w:t>
      </w:r>
      <w:r w:rsidR="0084093B" w:rsidRPr="00305E0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779E2" w:rsidRPr="00305E00">
        <w:rPr>
          <w:rFonts w:ascii="Arial" w:eastAsia="Times New Roman" w:hAnsi="Arial" w:cs="Arial"/>
          <w:b/>
          <w:bCs/>
          <w:sz w:val="24"/>
          <w:szCs w:val="24"/>
        </w:rPr>
        <w:t xml:space="preserve">persons </w:t>
      </w:r>
      <w:r w:rsidRPr="00305E00">
        <w:rPr>
          <w:rFonts w:ascii="Arial" w:eastAsia="Times New Roman" w:hAnsi="Arial" w:cs="Arial"/>
          <w:sz w:val="24"/>
          <w:szCs w:val="24"/>
        </w:rPr>
        <w:t>we</w:t>
      </w:r>
      <w:r w:rsidR="00F779E2" w:rsidRPr="00305E00">
        <w:rPr>
          <w:rFonts w:ascii="Arial" w:eastAsia="Times New Roman" w:hAnsi="Arial" w:cs="Arial"/>
          <w:sz w:val="24"/>
          <w:szCs w:val="24"/>
        </w:rPr>
        <w:t xml:space="preserve">re affected </w:t>
      </w:r>
      <w:r w:rsidRPr="00305E00">
        <w:rPr>
          <w:rFonts w:ascii="Arial" w:eastAsia="Times New Roman" w:hAnsi="Arial" w:cs="Arial"/>
          <w:sz w:val="24"/>
          <w:szCs w:val="24"/>
        </w:rPr>
        <w:t xml:space="preserve">by the earthquake incident </w:t>
      </w:r>
      <w:r w:rsidR="00F779E2" w:rsidRPr="00305E00">
        <w:rPr>
          <w:rFonts w:ascii="Arial" w:eastAsia="Times New Roman" w:hAnsi="Arial" w:cs="Arial"/>
          <w:sz w:val="24"/>
          <w:szCs w:val="24"/>
        </w:rPr>
        <w:t xml:space="preserve">in </w:t>
      </w:r>
      <w:r w:rsidR="0048062F" w:rsidRPr="00305E00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C85CDD" w:rsidRPr="00305E0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779E2" w:rsidRPr="00305E00">
        <w:rPr>
          <w:rFonts w:ascii="Arial" w:eastAsia="Times New Roman" w:hAnsi="Arial" w:cs="Arial"/>
          <w:b/>
          <w:bCs/>
          <w:sz w:val="24"/>
          <w:szCs w:val="24"/>
        </w:rPr>
        <w:t xml:space="preserve">barangays </w:t>
      </w:r>
      <w:r w:rsidRPr="00305E00">
        <w:rPr>
          <w:rFonts w:ascii="Arial" w:eastAsia="Times New Roman" w:hAnsi="Arial" w:cs="Arial"/>
          <w:sz w:val="24"/>
          <w:szCs w:val="24"/>
        </w:rPr>
        <w:t xml:space="preserve">in </w:t>
      </w:r>
      <w:proofErr w:type="spellStart"/>
      <w:r w:rsidR="0048062F" w:rsidRPr="00305E00">
        <w:rPr>
          <w:rFonts w:ascii="Arial" w:eastAsia="Times New Roman" w:hAnsi="Arial" w:cs="Arial"/>
          <w:sz w:val="24"/>
          <w:szCs w:val="24"/>
        </w:rPr>
        <w:t>Itbayat</w:t>
      </w:r>
      <w:proofErr w:type="spellEnd"/>
      <w:r w:rsidR="0048062F" w:rsidRPr="00305E0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48062F" w:rsidRPr="00305E00">
        <w:rPr>
          <w:rFonts w:ascii="Arial" w:eastAsia="Times New Roman" w:hAnsi="Arial" w:cs="Arial"/>
          <w:sz w:val="24"/>
          <w:szCs w:val="24"/>
        </w:rPr>
        <w:t>Batanes</w:t>
      </w:r>
      <w:proofErr w:type="spellEnd"/>
      <w:r w:rsidRPr="00305E0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779E2" w:rsidRPr="00305E00">
        <w:rPr>
          <w:rFonts w:ascii="Arial" w:eastAsia="Times New Roman" w:hAnsi="Arial" w:cs="Arial"/>
          <w:sz w:val="24"/>
          <w:szCs w:val="24"/>
        </w:rPr>
        <w:t>(see Table 1).</w:t>
      </w:r>
      <w:r w:rsidR="00F779E2" w:rsidRPr="00305E00">
        <w:rPr>
          <w:rFonts w:ascii="Arial" w:eastAsia="Times New Roman" w:hAnsi="Arial" w:cs="Arial"/>
          <w:sz w:val="24"/>
          <w:szCs w:val="24"/>
        </w:rPr>
        <w:tab/>
      </w:r>
    </w:p>
    <w:p w14:paraId="3D47E773" w14:textId="77777777" w:rsidR="0042754A" w:rsidRPr="00305E00" w:rsidRDefault="0042754A" w:rsidP="00305E00">
      <w:pPr>
        <w:widowControl/>
        <w:spacing w:after="0" w:line="240" w:lineRule="auto"/>
        <w:ind w:left="27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3F09C226" w14:textId="39956FB5" w:rsidR="00F779E2" w:rsidRPr="00305E00" w:rsidRDefault="00F779E2" w:rsidP="00305E00">
      <w:pPr>
        <w:widowControl/>
        <w:spacing w:after="0" w:line="240" w:lineRule="auto"/>
        <w:ind w:left="-90" w:firstLine="374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305E00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Table 1. </w:t>
      </w:r>
      <w:r w:rsidR="004C5FC5" w:rsidRPr="00305E00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Number of </w:t>
      </w:r>
      <w:r w:rsidRPr="00305E00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Affected Families / Persons</w:t>
      </w:r>
    </w:p>
    <w:tbl>
      <w:tblPr>
        <w:tblW w:w="4870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766"/>
        <w:gridCol w:w="1716"/>
        <w:gridCol w:w="1404"/>
        <w:gridCol w:w="1398"/>
      </w:tblGrid>
      <w:tr w:rsidR="00F86174" w:rsidRPr="00305E00" w14:paraId="2334F722" w14:textId="77777777" w:rsidTr="00F86174">
        <w:trPr>
          <w:trHeight w:val="38"/>
        </w:trPr>
        <w:tc>
          <w:tcPr>
            <w:tcW w:w="26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1FB3E" w14:textId="77777777" w:rsidR="00F86174" w:rsidRPr="00305E00" w:rsidRDefault="00F86174" w:rsidP="00305E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05E0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06FFD" w14:textId="77777777" w:rsidR="00F86174" w:rsidRPr="00305E00" w:rsidRDefault="00F86174" w:rsidP="00305E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05E0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F86174" w:rsidRPr="00305E00" w14:paraId="5D3D447D" w14:textId="77777777" w:rsidTr="00F86174">
        <w:trPr>
          <w:trHeight w:val="38"/>
        </w:trPr>
        <w:tc>
          <w:tcPr>
            <w:tcW w:w="26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01BBC" w14:textId="77777777" w:rsidR="00F86174" w:rsidRPr="00305E00" w:rsidRDefault="00F86174" w:rsidP="00305E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4BA3C" w14:textId="77777777" w:rsidR="00F86174" w:rsidRPr="00305E00" w:rsidRDefault="00F86174" w:rsidP="00305E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05E0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97FD1" w14:textId="77777777" w:rsidR="00F86174" w:rsidRPr="00305E00" w:rsidRDefault="00F86174" w:rsidP="00305E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05E0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93D9C" w14:textId="77777777" w:rsidR="00F86174" w:rsidRPr="00305E00" w:rsidRDefault="00F86174" w:rsidP="00305E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05E0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F86174" w:rsidRPr="00305E00" w14:paraId="4971C258" w14:textId="77777777" w:rsidTr="00F86174">
        <w:trPr>
          <w:trHeight w:val="20"/>
        </w:trPr>
        <w:tc>
          <w:tcPr>
            <w:tcW w:w="2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15CF5" w14:textId="77777777" w:rsidR="00F86174" w:rsidRPr="00305E00" w:rsidRDefault="00F86174" w:rsidP="00305E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05E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81CE9" w14:textId="6C30E65B" w:rsidR="00F86174" w:rsidRPr="00305E00" w:rsidRDefault="00F86174" w:rsidP="00305E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05E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A04CA" w14:textId="0112BE5A" w:rsidR="00F86174" w:rsidRPr="00305E00" w:rsidRDefault="00F86174" w:rsidP="00305E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05E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F91BCF" w:rsidRPr="00305E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911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693D2" w14:textId="5FACE376" w:rsidR="00F86174" w:rsidRPr="00305E00" w:rsidRDefault="00F91BCF" w:rsidP="00305E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05E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2,963</w:t>
            </w:r>
          </w:p>
        </w:tc>
      </w:tr>
      <w:tr w:rsidR="00F86174" w:rsidRPr="00305E00" w14:paraId="5E28BA0C" w14:textId="77777777" w:rsidTr="00F86174">
        <w:trPr>
          <w:trHeight w:val="20"/>
        </w:trPr>
        <w:tc>
          <w:tcPr>
            <w:tcW w:w="2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988C1" w14:textId="77777777" w:rsidR="00F86174" w:rsidRPr="00305E00" w:rsidRDefault="00F86174" w:rsidP="00305E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05E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II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02556" w14:textId="1F7D4DAD" w:rsidR="00F86174" w:rsidRPr="00305E00" w:rsidRDefault="00F86174" w:rsidP="00305E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05E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52A2F" w14:textId="17C42D7F" w:rsidR="00F86174" w:rsidRPr="00305E00" w:rsidRDefault="00F91BCF" w:rsidP="00305E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05E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911</w:t>
            </w:r>
            <w:r w:rsidR="00F86174" w:rsidRPr="00305E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03406" w14:textId="01D12AEF" w:rsidR="00F86174" w:rsidRPr="00305E00" w:rsidRDefault="00F91BCF" w:rsidP="00305E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05E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2,963</w:t>
            </w:r>
            <w:r w:rsidR="00F86174" w:rsidRPr="00305E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F86174" w:rsidRPr="00305E00" w14:paraId="47465021" w14:textId="77777777" w:rsidTr="00F86174">
        <w:trPr>
          <w:trHeight w:val="20"/>
        </w:trPr>
        <w:tc>
          <w:tcPr>
            <w:tcW w:w="2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63F77" w14:textId="77777777" w:rsidR="00F86174" w:rsidRPr="00305E00" w:rsidRDefault="00F86174" w:rsidP="00305E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305E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Batanes</w:t>
            </w:r>
            <w:proofErr w:type="spellEnd"/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DA1A7" w14:textId="1FFB69D9" w:rsidR="00F86174" w:rsidRPr="00305E00" w:rsidRDefault="00F86174" w:rsidP="00305E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05E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F7350" w14:textId="49B92D01" w:rsidR="00F86174" w:rsidRPr="00305E00" w:rsidRDefault="00F91BCF" w:rsidP="00305E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05E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911</w:t>
            </w:r>
            <w:r w:rsidR="00F86174" w:rsidRPr="00305E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79043" w14:textId="3F94456E" w:rsidR="00F86174" w:rsidRPr="00305E00" w:rsidRDefault="00F91BCF" w:rsidP="00305E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05E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2,963</w:t>
            </w:r>
            <w:r w:rsidR="00F86174" w:rsidRPr="00305E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F86174" w:rsidRPr="00305E00" w14:paraId="4BCE1AC1" w14:textId="77777777" w:rsidTr="00F8617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CCA24" w14:textId="77777777" w:rsidR="00F86174" w:rsidRPr="00305E00" w:rsidRDefault="00F86174" w:rsidP="00305E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305E00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3C436" w14:textId="77777777" w:rsidR="00F86174" w:rsidRPr="00305E00" w:rsidRDefault="00F86174" w:rsidP="00305E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305E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Itbayat</w:t>
            </w:r>
            <w:proofErr w:type="spellEnd"/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B0C49" w14:textId="20E383CA" w:rsidR="00F86174" w:rsidRPr="00305E00" w:rsidRDefault="00F86174" w:rsidP="00305E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305E0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2F6A2" w14:textId="02153025" w:rsidR="00F86174" w:rsidRPr="00305E00" w:rsidRDefault="00F91BCF" w:rsidP="00305E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305E00">
              <w:rPr>
                <w:rFonts w:ascii="Arial" w:hAnsi="Arial" w:cs="Arial"/>
                <w:i/>
                <w:iCs/>
                <w:sz w:val="20"/>
                <w:szCs w:val="24"/>
              </w:rPr>
              <w:t>911</w:t>
            </w:r>
            <w:r w:rsidR="00F86174" w:rsidRPr="00305E0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C5B79" w14:textId="5D9ACD26" w:rsidR="00F86174" w:rsidRPr="00305E00" w:rsidRDefault="00F91BCF" w:rsidP="00305E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305E0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2,963</w:t>
            </w:r>
            <w:r w:rsidR="00F86174" w:rsidRPr="00305E0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14:paraId="3E32ABE8" w14:textId="3C19BE4D" w:rsidR="004C5FC5" w:rsidRPr="00305E00" w:rsidRDefault="001B6DDB" w:rsidP="00305E00">
      <w:pPr>
        <w:widowControl/>
        <w:spacing w:after="0" w:line="240" w:lineRule="auto"/>
        <w:ind w:firstLine="284"/>
        <w:contextualSpacing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  <w:r w:rsidRPr="00305E00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Note: Ongoing assessment and validation</w:t>
      </w:r>
      <w:r w:rsidR="0042754A" w:rsidRPr="00305E00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being conducted.</w:t>
      </w:r>
    </w:p>
    <w:p w14:paraId="355F7D20" w14:textId="158F5BBA" w:rsidR="0084093B" w:rsidRPr="00305E00" w:rsidRDefault="00F86174" w:rsidP="00305E00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305E00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 </w:t>
      </w:r>
      <w:r w:rsidR="0048062F" w:rsidRPr="00305E00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 II</w:t>
      </w:r>
    </w:p>
    <w:p w14:paraId="37BEAB30" w14:textId="2C80D819" w:rsidR="00191CE5" w:rsidRPr="00305E00" w:rsidRDefault="00191CE5" w:rsidP="00305E00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4B85AB1F" w14:textId="19F304BE" w:rsidR="0048062F" w:rsidRPr="00305E00" w:rsidRDefault="0048062F" w:rsidP="00305E00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3E73BC98" w14:textId="77777777" w:rsidR="00305E00" w:rsidRDefault="00305E00">
      <w:pPr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br w:type="page"/>
      </w:r>
    </w:p>
    <w:p w14:paraId="7BCE333F" w14:textId="34EB3597" w:rsidR="0048062F" w:rsidRPr="00305E00" w:rsidRDefault="0048062F" w:rsidP="00305E00">
      <w:pPr>
        <w:pStyle w:val="ListParagraph"/>
        <w:widowControl/>
        <w:numPr>
          <w:ilvl w:val="0"/>
          <w:numId w:val="29"/>
        </w:numPr>
        <w:shd w:val="clear" w:color="auto" w:fill="FFFFFF"/>
        <w:spacing w:after="0" w:line="240" w:lineRule="auto"/>
        <w:ind w:left="284" w:hanging="374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305E00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Status of Displaced Families / Persons</w:t>
      </w:r>
    </w:p>
    <w:p w14:paraId="3090E3EF" w14:textId="227195C7" w:rsidR="0048062F" w:rsidRPr="00305E00" w:rsidRDefault="00F91BCF" w:rsidP="00305E00">
      <w:pPr>
        <w:widowControl/>
        <w:shd w:val="clear" w:color="auto" w:fill="FFFFFF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05E00">
        <w:rPr>
          <w:rFonts w:ascii="Arial" w:eastAsia="Times New Roman" w:hAnsi="Arial" w:cs="Arial"/>
          <w:b/>
          <w:bCs/>
          <w:sz w:val="24"/>
          <w:szCs w:val="24"/>
        </w:rPr>
        <w:t>911</w:t>
      </w:r>
      <w:r w:rsidR="00713716" w:rsidRPr="00305E00">
        <w:rPr>
          <w:rFonts w:ascii="Arial" w:eastAsia="Times New Roman" w:hAnsi="Arial" w:cs="Arial"/>
          <w:b/>
          <w:bCs/>
          <w:sz w:val="24"/>
          <w:szCs w:val="24"/>
        </w:rPr>
        <w:t xml:space="preserve"> families</w:t>
      </w:r>
      <w:r w:rsidR="00713716" w:rsidRPr="00305E00">
        <w:rPr>
          <w:rFonts w:ascii="Arial" w:eastAsia="Times New Roman" w:hAnsi="Arial" w:cs="Arial"/>
          <w:sz w:val="24"/>
          <w:szCs w:val="24"/>
        </w:rPr>
        <w:t xml:space="preserve"> or </w:t>
      </w:r>
      <w:r w:rsidRPr="00305E00">
        <w:rPr>
          <w:rFonts w:ascii="Arial" w:eastAsia="Times New Roman" w:hAnsi="Arial" w:cs="Arial"/>
          <w:b/>
          <w:bCs/>
          <w:sz w:val="24"/>
          <w:szCs w:val="24"/>
        </w:rPr>
        <w:t>2,963</w:t>
      </w:r>
      <w:r w:rsidR="00713716" w:rsidRPr="00305E00">
        <w:rPr>
          <w:rFonts w:ascii="Arial" w:eastAsia="Times New Roman" w:hAnsi="Arial" w:cs="Arial"/>
          <w:b/>
          <w:bCs/>
          <w:sz w:val="24"/>
          <w:szCs w:val="24"/>
        </w:rPr>
        <w:t xml:space="preserve"> persons</w:t>
      </w:r>
      <w:r w:rsidR="0048062F" w:rsidRPr="00305E00">
        <w:rPr>
          <w:rFonts w:ascii="Arial" w:eastAsia="Times New Roman" w:hAnsi="Arial" w:cs="Arial"/>
          <w:sz w:val="24"/>
          <w:szCs w:val="24"/>
        </w:rPr>
        <w:t> </w:t>
      </w:r>
      <w:r w:rsidR="00A11005" w:rsidRPr="00305E00">
        <w:rPr>
          <w:rFonts w:ascii="Arial" w:eastAsia="Times New Roman" w:hAnsi="Arial" w:cs="Arial"/>
          <w:sz w:val="24"/>
          <w:szCs w:val="24"/>
        </w:rPr>
        <w:t xml:space="preserve">are currently staying at </w:t>
      </w:r>
      <w:r w:rsidR="00713716" w:rsidRPr="00305E00">
        <w:rPr>
          <w:rFonts w:ascii="Arial" w:eastAsia="Times New Roman" w:hAnsi="Arial" w:cs="Arial"/>
          <w:sz w:val="24"/>
          <w:szCs w:val="24"/>
        </w:rPr>
        <w:t>the</w:t>
      </w:r>
      <w:r w:rsidR="0048062F" w:rsidRPr="00305E00">
        <w:rPr>
          <w:rFonts w:ascii="Arial" w:eastAsia="Times New Roman" w:hAnsi="Arial" w:cs="Arial"/>
          <w:sz w:val="24"/>
          <w:szCs w:val="24"/>
        </w:rPr>
        <w:t> </w:t>
      </w:r>
      <w:r w:rsidR="00713716" w:rsidRPr="00305E00">
        <w:rPr>
          <w:rFonts w:ascii="Arial" w:eastAsia="Times New Roman" w:hAnsi="Arial" w:cs="Arial"/>
          <w:b/>
          <w:bCs/>
          <w:sz w:val="24"/>
          <w:szCs w:val="24"/>
        </w:rPr>
        <w:t>Public Market</w:t>
      </w:r>
      <w:r w:rsidR="0048062F" w:rsidRPr="00305E00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="0048062F" w:rsidRPr="00305E00">
        <w:rPr>
          <w:rFonts w:ascii="Arial" w:eastAsia="Times New Roman" w:hAnsi="Arial" w:cs="Arial"/>
          <w:sz w:val="24"/>
          <w:szCs w:val="24"/>
        </w:rPr>
        <w:t xml:space="preserve">in </w:t>
      </w:r>
      <w:proofErr w:type="spellStart"/>
      <w:r w:rsidR="00A11005" w:rsidRPr="00305E00">
        <w:rPr>
          <w:rFonts w:ascii="Arial" w:eastAsia="Times New Roman" w:hAnsi="Arial" w:cs="Arial"/>
          <w:bCs/>
          <w:sz w:val="24"/>
          <w:szCs w:val="24"/>
        </w:rPr>
        <w:t>Brgy</w:t>
      </w:r>
      <w:proofErr w:type="spellEnd"/>
      <w:r w:rsidR="00A11005" w:rsidRPr="00305E00">
        <w:rPr>
          <w:rFonts w:ascii="Arial" w:eastAsia="Times New Roman" w:hAnsi="Arial" w:cs="Arial"/>
          <w:bCs/>
          <w:sz w:val="24"/>
          <w:szCs w:val="24"/>
        </w:rPr>
        <w:t>. San Rafael</w:t>
      </w:r>
      <w:r w:rsidR="00A11005" w:rsidRPr="00305E0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713716" w:rsidRPr="00305E00">
        <w:rPr>
          <w:rFonts w:ascii="Arial" w:eastAsia="Times New Roman" w:hAnsi="Arial" w:cs="Arial"/>
          <w:bCs/>
          <w:sz w:val="24"/>
          <w:szCs w:val="24"/>
        </w:rPr>
        <w:t>Itbayat</w:t>
      </w:r>
      <w:proofErr w:type="spellEnd"/>
      <w:r w:rsidR="00713716" w:rsidRPr="00305E00"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spellStart"/>
      <w:r w:rsidR="00713716" w:rsidRPr="00305E00">
        <w:rPr>
          <w:rFonts w:ascii="Arial" w:eastAsia="Times New Roman" w:hAnsi="Arial" w:cs="Arial"/>
          <w:bCs/>
          <w:sz w:val="24"/>
          <w:szCs w:val="24"/>
        </w:rPr>
        <w:t>Batanes</w:t>
      </w:r>
      <w:proofErr w:type="spellEnd"/>
      <w:r w:rsidR="00713716" w:rsidRPr="00305E00">
        <w:rPr>
          <w:rFonts w:ascii="Arial" w:eastAsia="Times New Roman" w:hAnsi="Arial" w:cs="Arial"/>
          <w:sz w:val="24"/>
          <w:szCs w:val="24"/>
        </w:rPr>
        <w:t xml:space="preserve"> </w:t>
      </w:r>
      <w:r w:rsidR="0048062F" w:rsidRPr="00305E00">
        <w:rPr>
          <w:rFonts w:ascii="Arial" w:eastAsia="Times New Roman" w:hAnsi="Arial" w:cs="Arial"/>
          <w:sz w:val="24"/>
          <w:szCs w:val="24"/>
        </w:rPr>
        <w:t>(see Table 2).</w:t>
      </w:r>
    </w:p>
    <w:p w14:paraId="41851EF7" w14:textId="0DB5521D" w:rsidR="0048062F" w:rsidRPr="00305E00" w:rsidRDefault="0048062F" w:rsidP="00305E00">
      <w:pPr>
        <w:widowControl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2B01CD16" w14:textId="77777777" w:rsidR="0048062F" w:rsidRPr="00305E00" w:rsidRDefault="0048062F" w:rsidP="00305E00">
      <w:pPr>
        <w:widowControl/>
        <w:shd w:val="clear" w:color="auto" w:fill="FFFFFF"/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 w:rsidRPr="00305E00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Inside Evacuation Center</w:t>
      </w:r>
    </w:p>
    <w:tbl>
      <w:tblPr>
        <w:tblW w:w="4918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3918"/>
        <w:gridCol w:w="918"/>
        <w:gridCol w:w="1035"/>
        <w:gridCol w:w="878"/>
        <w:gridCol w:w="880"/>
        <w:gridCol w:w="878"/>
        <w:gridCol w:w="870"/>
      </w:tblGrid>
      <w:tr w:rsidR="00F86174" w:rsidRPr="00305E00" w14:paraId="0B0D7577" w14:textId="77777777" w:rsidTr="00F86174">
        <w:trPr>
          <w:trHeight w:val="38"/>
        </w:trPr>
        <w:tc>
          <w:tcPr>
            <w:tcW w:w="21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37824" w14:textId="77777777" w:rsidR="00F86174" w:rsidRPr="00305E00" w:rsidRDefault="00F86174" w:rsidP="00305E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05E0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0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4D0B3" w14:textId="77777777" w:rsidR="00F86174" w:rsidRPr="00305E00" w:rsidRDefault="00F86174" w:rsidP="00305E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05E0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1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731C8" w14:textId="77777777" w:rsidR="00F86174" w:rsidRPr="00305E00" w:rsidRDefault="00F86174" w:rsidP="00305E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05E0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F86174" w:rsidRPr="00305E00" w14:paraId="568286FB" w14:textId="77777777" w:rsidTr="00F86174">
        <w:trPr>
          <w:trHeight w:val="38"/>
        </w:trPr>
        <w:tc>
          <w:tcPr>
            <w:tcW w:w="21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34311" w14:textId="77777777" w:rsidR="00F86174" w:rsidRPr="00305E00" w:rsidRDefault="00F86174" w:rsidP="00305E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0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0B500" w14:textId="77777777" w:rsidR="00F86174" w:rsidRPr="00305E00" w:rsidRDefault="00F86174" w:rsidP="00305E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1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C81F7" w14:textId="77777777" w:rsidR="00F86174" w:rsidRPr="00305E00" w:rsidRDefault="00F86174" w:rsidP="00305E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05E0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2A6B6" w14:textId="77777777" w:rsidR="00F86174" w:rsidRPr="00305E00" w:rsidRDefault="00F86174" w:rsidP="00305E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05E0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F86174" w:rsidRPr="00305E00" w14:paraId="113973FC" w14:textId="77777777" w:rsidTr="00F86174">
        <w:trPr>
          <w:trHeight w:val="20"/>
        </w:trPr>
        <w:tc>
          <w:tcPr>
            <w:tcW w:w="21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1367B" w14:textId="77777777" w:rsidR="00F86174" w:rsidRPr="00305E00" w:rsidRDefault="00F86174" w:rsidP="00305E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3EAB8" w14:textId="77777777" w:rsidR="00F86174" w:rsidRPr="00305E00" w:rsidRDefault="00F86174" w:rsidP="00305E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05E0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06D1C" w14:textId="77777777" w:rsidR="00F86174" w:rsidRPr="00305E00" w:rsidRDefault="00F86174" w:rsidP="00305E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05E0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6A3F7" w14:textId="77777777" w:rsidR="00F86174" w:rsidRPr="00305E00" w:rsidRDefault="00F86174" w:rsidP="00305E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05E0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CF793" w14:textId="77777777" w:rsidR="00F86174" w:rsidRPr="00305E00" w:rsidRDefault="00F86174" w:rsidP="00305E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05E0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288C4" w14:textId="77777777" w:rsidR="00F86174" w:rsidRPr="00305E00" w:rsidRDefault="00F86174" w:rsidP="00305E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05E0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569D2" w14:textId="77777777" w:rsidR="00F86174" w:rsidRPr="00305E00" w:rsidRDefault="00F86174" w:rsidP="00305E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05E0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F91BCF" w:rsidRPr="00305E00" w14:paraId="7AF5D03D" w14:textId="77777777" w:rsidTr="00F86174">
        <w:trPr>
          <w:trHeight w:val="20"/>
        </w:trPr>
        <w:tc>
          <w:tcPr>
            <w:tcW w:w="2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AF5B7" w14:textId="77777777" w:rsidR="00F91BCF" w:rsidRPr="00305E00" w:rsidRDefault="00F91BCF" w:rsidP="00305E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05E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13051" w14:textId="7E142C83" w:rsidR="00F91BCF" w:rsidRPr="00305E00" w:rsidRDefault="00F91BCF" w:rsidP="00305E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05E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76E29" w14:textId="7DB2F1BB" w:rsidR="00F91BCF" w:rsidRPr="00305E00" w:rsidRDefault="00F91BCF" w:rsidP="00305E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05E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A19D4" w14:textId="26326C84" w:rsidR="00F91BCF" w:rsidRPr="00305E00" w:rsidRDefault="00F91BCF" w:rsidP="00305E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05E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D821A" w14:textId="281F9EE1" w:rsidR="00F91BCF" w:rsidRPr="00305E00" w:rsidRDefault="00F91BCF" w:rsidP="00305E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05E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911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5001B" w14:textId="3C29B86B" w:rsidR="00F91BCF" w:rsidRPr="00305E00" w:rsidRDefault="00F91BCF" w:rsidP="00305E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05E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2,963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1CB6C" w14:textId="7F6618BB" w:rsidR="00F91BCF" w:rsidRPr="00305E00" w:rsidRDefault="00F91BCF" w:rsidP="00305E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05E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2,963</w:t>
            </w:r>
          </w:p>
        </w:tc>
      </w:tr>
      <w:tr w:rsidR="00F91BCF" w:rsidRPr="00305E00" w14:paraId="587FA152" w14:textId="77777777" w:rsidTr="00F86174">
        <w:trPr>
          <w:trHeight w:val="20"/>
        </w:trPr>
        <w:tc>
          <w:tcPr>
            <w:tcW w:w="2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2A47A" w14:textId="77777777" w:rsidR="00F91BCF" w:rsidRPr="00305E00" w:rsidRDefault="00F91BCF" w:rsidP="00305E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05E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II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CC0F2" w14:textId="22A89CB3" w:rsidR="00F91BCF" w:rsidRPr="00305E00" w:rsidRDefault="00F91BCF" w:rsidP="00305E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05E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301F1" w14:textId="7F6B6CE9" w:rsidR="00F91BCF" w:rsidRPr="00305E00" w:rsidRDefault="00F91BCF" w:rsidP="00305E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05E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E6878" w14:textId="14DA98FD" w:rsidR="00F91BCF" w:rsidRPr="00305E00" w:rsidRDefault="00F91BCF" w:rsidP="00305E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05E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911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AAF6A" w14:textId="1E1E252D" w:rsidR="00F91BCF" w:rsidRPr="00305E00" w:rsidRDefault="00F91BCF" w:rsidP="00305E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05E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911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85E08" w14:textId="11107B2E" w:rsidR="00F91BCF" w:rsidRPr="00305E00" w:rsidRDefault="00F91BCF" w:rsidP="00305E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05E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2,963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C41A9" w14:textId="5B7F5BE9" w:rsidR="00F91BCF" w:rsidRPr="00305E00" w:rsidRDefault="00F91BCF" w:rsidP="00305E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05E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2,963 </w:t>
            </w:r>
          </w:p>
        </w:tc>
      </w:tr>
      <w:tr w:rsidR="00F91BCF" w:rsidRPr="00305E00" w14:paraId="05C8566B" w14:textId="77777777" w:rsidTr="00F86174">
        <w:trPr>
          <w:trHeight w:val="20"/>
        </w:trPr>
        <w:tc>
          <w:tcPr>
            <w:tcW w:w="2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CB815" w14:textId="77777777" w:rsidR="00F91BCF" w:rsidRPr="00305E00" w:rsidRDefault="00F91BCF" w:rsidP="00305E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305E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Batanes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EC9AF" w14:textId="22DC943E" w:rsidR="00F91BCF" w:rsidRPr="00305E00" w:rsidRDefault="00F91BCF" w:rsidP="00305E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05E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C000F" w14:textId="65E5AA2A" w:rsidR="00F91BCF" w:rsidRPr="00305E00" w:rsidRDefault="00F91BCF" w:rsidP="00305E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05E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B3636" w14:textId="299A8928" w:rsidR="00F91BCF" w:rsidRPr="00305E00" w:rsidRDefault="00F91BCF" w:rsidP="00305E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05E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911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B8BA2" w14:textId="5571B0A9" w:rsidR="00F91BCF" w:rsidRPr="00305E00" w:rsidRDefault="00F91BCF" w:rsidP="00305E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05E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911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8B3C6" w14:textId="2EA47812" w:rsidR="00F91BCF" w:rsidRPr="00305E00" w:rsidRDefault="00F91BCF" w:rsidP="00305E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05E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2,963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57864" w14:textId="57069377" w:rsidR="00F91BCF" w:rsidRPr="00305E00" w:rsidRDefault="00F91BCF" w:rsidP="00305E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05E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2,963 </w:t>
            </w:r>
          </w:p>
        </w:tc>
      </w:tr>
      <w:tr w:rsidR="00F86174" w:rsidRPr="00305E00" w14:paraId="0A5274F8" w14:textId="77777777" w:rsidTr="00F8617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80249" w14:textId="77777777" w:rsidR="00F86174" w:rsidRPr="00305E00" w:rsidRDefault="00F86174" w:rsidP="00305E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305E00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CAC4B" w14:textId="77777777" w:rsidR="00F86174" w:rsidRPr="00305E00" w:rsidRDefault="00F86174" w:rsidP="00305E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305E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Itbayat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AAA2A" w14:textId="4C5A414B" w:rsidR="00F86174" w:rsidRPr="00305E00" w:rsidRDefault="00F86174" w:rsidP="00305E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305E0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EDCD5" w14:textId="255B4D5A" w:rsidR="00F86174" w:rsidRPr="00305E00" w:rsidRDefault="00F86174" w:rsidP="00305E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305E0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AAD7A" w14:textId="58AFD562" w:rsidR="00F86174" w:rsidRPr="00305E00" w:rsidRDefault="00F91BCF" w:rsidP="00305E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305E00">
              <w:rPr>
                <w:rFonts w:ascii="Arial" w:hAnsi="Arial" w:cs="Arial"/>
                <w:i/>
                <w:iCs/>
                <w:sz w:val="20"/>
                <w:szCs w:val="24"/>
              </w:rPr>
              <w:t>911</w:t>
            </w:r>
            <w:r w:rsidR="00F86174" w:rsidRPr="00305E0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DC97C" w14:textId="72741383" w:rsidR="00F86174" w:rsidRPr="00305E00" w:rsidRDefault="00F91BCF" w:rsidP="00305E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305E00">
              <w:rPr>
                <w:rFonts w:ascii="Arial" w:hAnsi="Arial" w:cs="Arial"/>
                <w:i/>
                <w:iCs/>
                <w:sz w:val="20"/>
                <w:szCs w:val="24"/>
              </w:rPr>
              <w:t>911</w:t>
            </w:r>
            <w:r w:rsidR="00F86174" w:rsidRPr="00305E0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75B4F" w14:textId="51716975" w:rsidR="00F86174" w:rsidRPr="00305E00" w:rsidRDefault="00F91BCF" w:rsidP="00305E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305E0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2,963</w:t>
            </w:r>
            <w:r w:rsidR="00F86174" w:rsidRPr="00305E0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6C78F" w14:textId="4AC120ED" w:rsidR="00F86174" w:rsidRPr="00305E00" w:rsidRDefault="00F91BCF" w:rsidP="00305E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305E0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2,963</w:t>
            </w:r>
            <w:r w:rsidR="00F86174" w:rsidRPr="00305E0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14:paraId="18DCDBF1" w14:textId="731FD69E" w:rsidR="0048062F" w:rsidRPr="00305E00" w:rsidRDefault="0048062F" w:rsidP="00305E00">
      <w:pPr>
        <w:widowControl/>
        <w:shd w:val="clear" w:color="auto" w:fill="FFFFFF"/>
        <w:spacing w:after="0" w:line="240" w:lineRule="auto"/>
        <w:ind w:left="357"/>
        <w:contextualSpacing/>
        <w:rPr>
          <w:rFonts w:ascii="Arial" w:eastAsia="Times New Roman" w:hAnsi="Arial" w:cs="Arial"/>
          <w:color w:val="222222"/>
          <w:sz w:val="16"/>
          <w:szCs w:val="24"/>
        </w:rPr>
      </w:pPr>
      <w:r w:rsidRPr="00305E00">
        <w:rPr>
          <w:rFonts w:ascii="Arial" w:eastAsia="Times New Roman" w:hAnsi="Arial" w:cs="Arial"/>
          <w:i/>
          <w:iCs/>
          <w:color w:val="222222"/>
          <w:sz w:val="16"/>
          <w:szCs w:val="24"/>
        </w:rPr>
        <w:t>Note: Ongoing assessment and validation</w:t>
      </w:r>
    </w:p>
    <w:p w14:paraId="609AD38E" w14:textId="7CDCEF75" w:rsidR="0048062F" w:rsidRPr="00305E00" w:rsidRDefault="0048062F" w:rsidP="00305E00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305E00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 II</w:t>
      </w:r>
    </w:p>
    <w:p w14:paraId="7916EBC8" w14:textId="77777777" w:rsidR="00305E00" w:rsidRPr="00305E00" w:rsidRDefault="00305E00" w:rsidP="00305E00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875F115" w14:textId="77777777" w:rsidR="00305E00" w:rsidRPr="00305E00" w:rsidRDefault="005A345D" w:rsidP="00305E00">
      <w:pPr>
        <w:pStyle w:val="ListParagraph"/>
        <w:numPr>
          <w:ilvl w:val="0"/>
          <w:numId w:val="29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05E00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78E81057" w14:textId="0FAE904B" w:rsidR="005A345D" w:rsidRPr="00305E00" w:rsidRDefault="005A345D" w:rsidP="00305E00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05E00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15 houses </w:t>
      </w:r>
      <w:r w:rsidRPr="00305E00">
        <w:rPr>
          <w:rFonts w:ascii="Arial" w:eastAsia="Times New Roman" w:hAnsi="Arial" w:cs="Arial"/>
          <w:bCs/>
          <w:iCs/>
          <w:sz w:val="24"/>
          <w:szCs w:val="24"/>
        </w:rPr>
        <w:t>were damaged</w:t>
      </w:r>
      <w:r w:rsidRPr="00305E00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Pr="00305E00">
        <w:rPr>
          <w:rFonts w:ascii="Arial" w:eastAsia="Times New Roman" w:hAnsi="Arial" w:cs="Arial"/>
          <w:bCs/>
          <w:iCs/>
          <w:sz w:val="24"/>
          <w:szCs w:val="24"/>
        </w:rPr>
        <w:t>by the earthquake incident</w:t>
      </w:r>
      <w:r w:rsidRPr="00305E00">
        <w:rPr>
          <w:rFonts w:ascii="Arial" w:eastAsia="Times New Roman" w:hAnsi="Arial" w:cs="Arial"/>
          <w:bCs/>
          <w:iCs/>
          <w:color w:val="222222"/>
          <w:sz w:val="24"/>
          <w:szCs w:val="24"/>
        </w:rPr>
        <w:t>.</w:t>
      </w:r>
      <w:r w:rsidR="00305E00" w:rsidRPr="00305E00">
        <w:rPr>
          <w:rFonts w:ascii="Arial" w:eastAsia="Times New Roman" w:hAnsi="Arial" w:cs="Arial"/>
          <w:bCs/>
          <w:iCs/>
          <w:color w:val="222222"/>
          <w:sz w:val="24"/>
          <w:szCs w:val="24"/>
        </w:rPr>
        <w:t xml:space="preserve"> Ongoing assessment is being conducted.</w:t>
      </w:r>
    </w:p>
    <w:p w14:paraId="73235CC2" w14:textId="0F48E0E2" w:rsidR="005A345D" w:rsidRPr="00305E00" w:rsidRDefault="005A345D" w:rsidP="00305E00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05E00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 II</w:t>
      </w:r>
    </w:p>
    <w:p w14:paraId="2EAA6295" w14:textId="77777777" w:rsidR="005A345D" w:rsidRPr="00305E00" w:rsidRDefault="005A345D" w:rsidP="00305E00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1EEA8E0" w14:textId="6FEC3F9E" w:rsidR="009A5915" w:rsidRPr="00305E00" w:rsidRDefault="009211FE" w:rsidP="00305E00">
      <w:pPr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  <w:r w:rsidRPr="00305E00">
        <w:rPr>
          <w:rFonts w:ascii="Arial" w:eastAsia="Arial" w:hAnsi="Arial" w:cs="Arial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3E184DE" wp14:editId="61F20D81">
            <wp:simplePos x="0" y="0"/>
            <wp:positionH relativeFrom="column">
              <wp:posOffset>-219075</wp:posOffset>
            </wp:positionH>
            <wp:positionV relativeFrom="paragraph">
              <wp:posOffset>259715</wp:posOffset>
            </wp:positionV>
            <wp:extent cx="6614160" cy="4676775"/>
            <wp:effectExtent l="0" t="0" r="0" b="9525"/>
            <wp:wrapTight wrapText="bothSides">
              <wp:wrapPolygon edited="0">
                <wp:start x="0" y="0"/>
                <wp:lineTo x="0" y="21556"/>
                <wp:lineTo x="21525" y="21556"/>
                <wp:lineTo x="2152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tbayat, Batanes Earthquak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4160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915" w:rsidRPr="00305E00">
        <w:rPr>
          <w:rFonts w:ascii="Arial" w:eastAsia="Arial" w:hAnsi="Arial" w:cs="Arial"/>
          <w:b/>
          <w:color w:val="002060"/>
          <w:sz w:val="24"/>
          <w:szCs w:val="24"/>
        </w:rPr>
        <w:t>DSWD DISASTER RESPONSE INFORMATION</w:t>
      </w:r>
    </w:p>
    <w:p w14:paraId="473522BF" w14:textId="6B237BE0" w:rsidR="009A5915" w:rsidRPr="009E4921" w:rsidRDefault="009A5915" w:rsidP="00305E00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9E4921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DRMB-DROMIC GIS Specialists</w:t>
      </w:r>
    </w:p>
    <w:p w14:paraId="4B543D81" w14:textId="70B68F21" w:rsidR="003051AC" w:rsidRPr="00305E00" w:rsidRDefault="003051AC" w:rsidP="00305E00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269DDA41" w14:textId="5E35A4D6" w:rsidR="003051AC" w:rsidRPr="00305E00" w:rsidRDefault="003051AC" w:rsidP="00305E00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07EB7C8D" w14:textId="151F89C1" w:rsidR="009A5915" w:rsidRPr="00305E00" w:rsidRDefault="009A5915" w:rsidP="00305E0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C2C3997" w14:textId="77777777" w:rsidR="003051AC" w:rsidRPr="009E4921" w:rsidRDefault="003051AC" w:rsidP="00305E00">
      <w:pPr>
        <w:spacing w:after="0" w:line="240" w:lineRule="auto"/>
        <w:contextualSpacing/>
        <w:rPr>
          <w:rFonts w:ascii="Arial" w:hAnsi="Arial" w:cs="Arial"/>
          <w:sz w:val="28"/>
          <w:szCs w:val="24"/>
        </w:rPr>
      </w:pPr>
      <w:r w:rsidRPr="009E4921">
        <w:rPr>
          <w:rFonts w:ascii="Arial" w:eastAsia="Arial" w:hAnsi="Arial" w:cs="Arial"/>
          <w:b/>
          <w:color w:val="002060"/>
          <w:sz w:val="28"/>
          <w:szCs w:val="24"/>
        </w:rPr>
        <w:t>Status of Prepositioned Resources: Stockpile and Standby Funds</w:t>
      </w:r>
    </w:p>
    <w:p w14:paraId="67AA0F66" w14:textId="77777777" w:rsidR="003051AC" w:rsidRPr="00305E00" w:rsidRDefault="003051AC" w:rsidP="00305E0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21DA914" w14:textId="77777777" w:rsidR="003051AC" w:rsidRPr="00CF07E8" w:rsidRDefault="003051AC" w:rsidP="00305E0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F07E8">
        <w:rPr>
          <w:rFonts w:ascii="Arial" w:eastAsia="Arial" w:hAnsi="Arial" w:cs="Arial"/>
          <w:sz w:val="24"/>
          <w:szCs w:val="24"/>
        </w:rPr>
        <w:t xml:space="preserve">The DSWD Central Office (CO), Field Offices (FOs), and National Resource Operations Center (NROC) have stockpiles and standby funds amounting to </w:t>
      </w:r>
      <w:r w:rsidRPr="00CF07E8">
        <w:rPr>
          <w:rFonts w:ascii="Arial" w:eastAsia="Arial" w:hAnsi="Arial" w:cs="Arial"/>
          <w:b/>
          <w:sz w:val="24"/>
          <w:szCs w:val="24"/>
        </w:rPr>
        <w:t xml:space="preserve">₱1,973,907,180.67 </w:t>
      </w:r>
      <w:r w:rsidRPr="00CF07E8">
        <w:rPr>
          <w:rFonts w:ascii="Arial" w:eastAsia="Arial" w:hAnsi="Arial" w:cs="Arial"/>
          <w:sz w:val="24"/>
          <w:szCs w:val="24"/>
        </w:rPr>
        <w:t>with breakdown as follows (see Table 1):</w:t>
      </w:r>
    </w:p>
    <w:p w14:paraId="46EC22C1" w14:textId="77777777" w:rsidR="003051AC" w:rsidRPr="00CF07E8" w:rsidRDefault="003051AC" w:rsidP="00305E0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BFE32AF" w14:textId="77777777" w:rsidR="003051AC" w:rsidRPr="00CF07E8" w:rsidRDefault="003051AC" w:rsidP="00305E00">
      <w:pPr>
        <w:widowControl/>
        <w:numPr>
          <w:ilvl w:val="0"/>
          <w:numId w:val="35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F07E8">
        <w:rPr>
          <w:rFonts w:ascii="Arial" w:eastAsia="Arial" w:hAnsi="Arial" w:cs="Arial"/>
          <w:b/>
          <w:sz w:val="24"/>
          <w:szCs w:val="24"/>
          <w:highlight w:val="white"/>
        </w:rPr>
        <w:t>Standby Funds</w:t>
      </w:r>
    </w:p>
    <w:p w14:paraId="11EB5BFD" w14:textId="77777777" w:rsidR="003051AC" w:rsidRPr="00CF07E8" w:rsidRDefault="003051AC" w:rsidP="00305E00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F07E8">
        <w:rPr>
          <w:rFonts w:ascii="Arial" w:eastAsia="Arial" w:hAnsi="Arial" w:cs="Arial"/>
          <w:sz w:val="24"/>
          <w:szCs w:val="24"/>
        </w:rPr>
        <w:t xml:space="preserve">A total of </w:t>
      </w:r>
      <w:r w:rsidRPr="00CF07E8">
        <w:rPr>
          <w:rFonts w:ascii="Arial" w:eastAsia="Arial" w:hAnsi="Arial" w:cs="Arial"/>
          <w:b/>
          <w:sz w:val="24"/>
          <w:szCs w:val="24"/>
        </w:rPr>
        <w:t xml:space="preserve">₱1,183,258,066.22 </w:t>
      </w:r>
      <w:r w:rsidRPr="00CF07E8">
        <w:rPr>
          <w:rFonts w:ascii="Arial" w:eastAsia="Arial" w:hAnsi="Arial" w:cs="Arial"/>
          <w:sz w:val="24"/>
          <w:szCs w:val="24"/>
        </w:rPr>
        <w:t xml:space="preserve">standby funds in the CO and FOs. Of the said amount, </w:t>
      </w:r>
      <w:r w:rsidRPr="00CF07E8">
        <w:rPr>
          <w:rFonts w:ascii="Arial" w:eastAsia="Arial" w:hAnsi="Arial" w:cs="Arial"/>
          <w:b/>
          <w:sz w:val="24"/>
          <w:szCs w:val="24"/>
        </w:rPr>
        <w:t xml:space="preserve">₱1,146,974,543.16 </w:t>
      </w:r>
      <w:r w:rsidRPr="00CF07E8">
        <w:rPr>
          <w:rFonts w:ascii="Arial" w:eastAsia="Arial" w:hAnsi="Arial" w:cs="Arial"/>
          <w:sz w:val="24"/>
          <w:szCs w:val="24"/>
        </w:rPr>
        <w:t>is the available Quick Response Fund (QRF) in the CO.</w:t>
      </w:r>
    </w:p>
    <w:p w14:paraId="0D34A87E" w14:textId="77777777" w:rsidR="003051AC" w:rsidRPr="00CF07E8" w:rsidRDefault="003051AC" w:rsidP="00305E00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3830AA5D" w14:textId="77777777" w:rsidR="003051AC" w:rsidRPr="00CF07E8" w:rsidRDefault="003051AC" w:rsidP="00305E00">
      <w:pPr>
        <w:widowControl/>
        <w:numPr>
          <w:ilvl w:val="0"/>
          <w:numId w:val="35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F07E8">
        <w:rPr>
          <w:rFonts w:ascii="Arial" w:eastAsia="Arial" w:hAnsi="Arial" w:cs="Arial"/>
          <w:b/>
          <w:sz w:val="24"/>
          <w:szCs w:val="24"/>
        </w:rPr>
        <w:t>Stockpiles</w:t>
      </w:r>
    </w:p>
    <w:p w14:paraId="3E047B4A" w14:textId="77777777" w:rsidR="003051AC" w:rsidRPr="00CF07E8" w:rsidRDefault="003051AC" w:rsidP="00305E00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F07E8">
        <w:rPr>
          <w:rFonts w:ascii="Arial" w:eastAsia="Arial" w:hAnsi="Arial" w:cs="Arial"/>
          <w:sz w:val="24"/>
          <w:szCs w:val="24"/>
        </w:rPr>
        <w:t xml:space="preserve">A total of </w:t>
      </w:r>
      <w:r w:rsidRPr="00CF07E8">
        <w:rPr>
          <w:rFonts w:ascii="Arial" w:eastAsia="Arial" w:hAnsi="Arial" w:cs="Arial"/>
          <w:b/>
          <w:sz w:val="24"/>
          <w:szCs w:val="24"/>
        </w:rPr>
        <w:t>359,879 Family Food Packs (FFPs)</w:t>
      </w:r>
      <w:r w:rsidRPr="00CF07E8">
        <w:rPr>
          <w:rFonts w:ascii="Arial" w:eastAsia="Arial" w:hAnsi="Arial" w:cs="Arial"/>
          <w:sz w:val="24"/>
          <w:szCs w:val="24"/>
        </w:rPr>
        <w:t xml:space="preserve"> amounting to </w:t>
      </w:r>
      <w:r w:rsidRPr="00CF07E8">
        <w:rPr>
          <w:rFonts w:ascii="Arial" w:eastAsia="Arial" w:hAnsi="Arial" w:cs="Arial"/>
          <w:b/>
          <w:sz w:val="24"/>
          <w:szCs w:val="24"/>
        </w:rPr>
        <w:t xml:space="preserve">₱134,019,340.42 </w:t>
      </w:r>
      <w:r w:rsidRPr="00CF07E8">
        <w:rPr>
          <w:rFonts w:ascii="Arial" w:eastAsia="Arial" w:hAnsi="Arial" w:cs="Arial"/>
          <w:sz w:val="24"/>
          <w:szCs w:val="24"/>
        </w:rPr>
        <w:t xml:space="preserve">and available </w:t>
      </w:r>
      <w:r w:rsidRPr="00CF07E8">
        <w:rPr>
          <w:rFonts w:ascii="Arial" w:eastAsia="Arial" w:hAnsi="Arial" w:cs="Arial"/>
          <w:b/>
          <w:sz w:val="24"/>
          <w:szCs w:val="24"/>
        </w:rPr>
        <w:t>Food and Non-food Items (FNIs)</w:t>
      </w:r>
      <w:r w:rsidRPr="00CF07E8">
        <w:rPr>
          <w:rFonts w:ascii="Arial" w:eastAsia="Arial" w:hAnsi="Arial" w:cs="Arial"/>
          <w:sz w:val="24"/>
          <w:szCs w:val="24"/>
        </w:rPr>
        <w:t xml:space="preserve"> amounting to </w:t>
      </w:r>
      <w:r w:rsidRPr="00CF07E8">
        <w:rPr>
          <w:rFonts w:ascii="Arial" w:eastAsia="Arial" w:hAnsi="Arial" w:cs="Arial"/>
          <w:b/>
          <w:sz w:val="24"/>
          <w:szCs w:val="24"/>
        </w:rPr>
        <w:t>₱656,629,774.03</w:t>
      </w:r>
      <w:r w:rsidRPr="00CF07E8">
        <w:rPr>
          <w:rFonts w:ascii="Arial" w:eastAsia="Arial" w:hAnsi="Arial" w:cs="Arial"/>
          <w:sz w:val="24"/>
          <w:szCs w:val="24"/>
        </w:rPr>
        <w:t>.</w:t>
      </w:r>
    </w:p>
    <w:p w14:paraId="4CFAA6FD" w14:textId="77777777" w:rsidR="003051AC" w:rsidRPr="00305E00" w:rsidRDefault="003051AC" w:rsidP="00305E00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1365"/>
        <w:gridCol w:w="802"/>
        <w:gridCol w:w="1237"/>
        <w:gridCol w:w="1237"/>
        <w:gridCol w:w="1237"/>
        <w:gridCol w:w="1239"/>
        <w:gridCol w:w="1363"/>
      </w:tblGrid>
      <w:tr w:rsidR="003051AC" w:rsidRPr="00734C56" w14:paraId="262B0933" w14:textId="77777777" w:rsidTr="00734C56">
        <w:trPr>
          <w:trHeight w:val="20"/>
          <w:tblHeader/>
        </w:trPr>
        <w:tc>
          <w:tcPr>
            <w:tcW w:w="6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E52156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  <w:t>FIELD OFFICE</w:t>
            </w:r>
          </w:p>
        </w:tc>
        <w:tc>
          <w:tcPr>
            <w:tcW w:w="702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3CA985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  <w:t>STANDBY FUNDS</w:t>
            </w:r>
          </w:p>
        </w:tc>
        <w:tc>
          <w:tcPr>
            <w:tcW w:w="2953" w:type="pct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4045E2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  <w:t>STOCKPILES</w:t>
            </w:r>
          </w:p>
        </w:tc>
        <w:tc>
          <w:tcPr>
            <w:tcW w:w="702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5BE86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  <w:t>Total STANDBY FUNDS &amp; STOCKPILE</w:t>
            </w:r>
          </w:p>
        </w:tc>
      </w:tr>
      <w:tr w:rsidR="003051AC" w:rsidRPr="00734C56" w14:paraId="6074088F" w14:textId="77777777" w:rsidTr="00734C56">
        <w:trPr>
          <w:trHeight w:val="20"/>
          <w:tblHeader/>
        </w:trPr>
        <w:tc>
          <w:tcPr>
            <w:tcW w:w="6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CC05E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2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CC3FE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37CC0D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  <w:t>Family Food Packs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9BF467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  <w:t>Other Food Items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FBD98D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  <w:t>Non Food Items</w:t>
            </w:r>
          </w:p>
        </w:tc>
        <w:tc>
          <w:tcPr>
            <w:tcW w:w="636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5D0A9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  <w:t>SUB-TOTAL (Food and NFIs)</w:t>
            </w:r>
          </w:p>
        </w:tc>
        <w:tc>
          <w:tcPr>
            <w:tcW w:w="702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2C673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051AC" w:rsidRPr="00734C56" w14:paraId="04AB2605" w14:textId="77777777" w:rsidTr="00734C56">
        <w:trPr>
          <w:trHeight w:val="20"/>
          <w:tblHeader/>
        </w:trPr>
        <w:tc>
          <w:tcPr>
            <w:tcW w:w="6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94D89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2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056B6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2B6B12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75B31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  <w:t>Total Cost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3255D9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  <w:t>Total Cost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1420A7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  <w:t>Total Cost</w:t>
            </w:r>
          </w:p>
        </w:tc>
        <w:tc>
          <w:tcPr>
            <w:tcW w:w="636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0E3570B3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2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14830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051AC" w:rsidRPr="00734C56" w14:paraId="5A0B2523" w14:textId="77777777" w:rsidTr="00734C56">
        <w:trPr>
          <w:trHeight w:val="20"/>
        </w:trPr>
        <w:tc>
          <w:tcPr>
            <w:tcW w:w="644" w:type="pct"/>
            <w:tcBorders>
              <w:top w:val="single" w:sz="6" w:space="0" w:color="CCCCCC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E335B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503F9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1,183,258,066.22</w:t>
            </w:r>
          </w:p>
        </w:tc>
        <w:tc>
          <w:tcPr>
            <w:tcW w:w="408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64018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359,879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E5D459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134,019,340.42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04F72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160,756,170.36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49EA8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495,873,603.67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076F7F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656,629,774.03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4D1428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1,973,907,180.67</w:t>
            </w:r>
          </w:p>
        </w:tc>
      </w:tr>
      <w:tr w:rsidR="003051AC" w:rsidRPr="00734C56" w14:paraId="3E568B25" w14:textId="77777777" w:rsidTr="00734C56">
        <w:trPr>
          <w:trHeight w:val="20"/>
        </w:trPr>
        <w:tc>
          <w:tcPr>
            <w:tcW w:w="6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9C8B0D" w14:textId="4345DB3A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Central Office</w:t>
            </w:r>
            <w:r w:rsidR="00734C5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8F5BAC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1,146,974,543.16</w:t>
            </w:r>
          </w:p>
        </w:tc>
        <w:tc>
          <w:tcPr>
            <w:tcW w:w="4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CA955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8DF2C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5664CA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657000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8688F0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05055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1,146,974,543.16</w:t>
            </w:r>
          </w:p>
        </w:tc>
      </w:tr>
      <w:tr w:rsidR="003051AC" w:rsidRPr="00734C56" w14:paraId="3B929B2F" w14:textId="77777777" w:rsidTr="00734C56">
        <w:trPr>
          <w:trHeight w:val="20"/>
        </w:trPr>
        <w:tc>
          <w:tcPr>
            <w:tcW w:w="6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24E21D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NRLMB - NROC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0321F7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AD9C0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103,200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04623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38,920,848.00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F66B6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82,564,936.86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41E39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330,634,906.88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A853D6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413,199,843.74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A51E92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452,120,691.74</w:t>
            </w:r>
          </w:p>
        </w:tc>
      </w:tr>
      <w:tr w:rsidR="003051AC" w:rsidRPr="00734C56" w14:paraId="64CC39C2" w14:textId="77777777" w:rsidTr="00734C56">
        <w:trPr>
          <w:trHeight w:val="20"/>
        </w:trPr>
        <w:tc>
          <w:tcPr>
            <w:tcW w:w="6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58333E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NRLMB - VDRC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B28AD9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55896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11,700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45456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4,212,000.00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460B4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1,203,200.00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E9DCD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5,224,562.31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389518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6,427,762.31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BC8879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10,639,762.31</w:t>
            </w:r>
          </w:p>
        </w:tc>
      </w:tr>
      <w:tr w:rsidR="003051AC" w:rsidRPr="00734C56" w14:paraId="3B451895" w14:textId="77777777" w:rsidTr="00734C56">
        <w:trPr>
          <w:trHeight w:val="20"/>
        </w:trPr>
        <w:tc>
          <w:tcPr>
            <w:tcW w:w="6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D0C356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E27763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2,379,275.00</w:t>
            </w:r>
          </w:p>
        </w:tc>
        <w:tc>
          <w:tcPr>
            <w:tcW w:w="4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ACCD6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14,393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0E63E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5,181,480.00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D8A5A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1,094,185.92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17084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33,381,090.79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265F47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34,475,276.71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221324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42,036,031.71</w:t>
            </w:r>
          </w:p>
        </w:tc>
      </w:tr>
      <w:tr w:rsidR="003051AC" w:rsidRPr="00734C56" w14:paraId="2CD75B5F" w14:textId="77777777" w:rsidTr="00734C56">
        <w:trPr>
          <w:trHeight w:val="20"/>
        </w:trPr>
        <w:tc>
          <w:tcPr>
            <w:tcW w:w="6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CCD110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7D30DA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2,607,537.00</w:t>
            </w:r>
          </w:p>
        </w:tc>
        <w:tc>
          <w:tcPr>
            <w:tcW w:w="4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7CD18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26,616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410DF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8,499,924.40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81E4B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526,640.00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EF0A7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349,602.75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32DC21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876,242.75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33D74C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11,983,704.15</w:t>
            </w:r>
          </w:p>
        </w:tc>
      </w:tr>
      <w:tr w:rsidR="003051AC" w:rsidRPr="00734C56" w14:paraId="27C24393" w14:textId="77777777" w:rsidTr="00734C56">
        <w:trPr>
          <w:trHeight w:val="20"/>
        </w:trPr>
        <w:tc>
          <w:tcPr>
            <w:tcW w:w="6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D92067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BD07E8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2,404,557.00</w:t>
            </w:r>
          </w:p>
        </w:tc>
        <w:tc>
          <w:tcPr>
            <w:tcW w:w="4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505C1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26,192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A98F9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10,257,281.28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B7CD2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899,919.70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06193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241,406.00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CC23B7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1,141,325.70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2D8C2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13,803,163.98</w:t>
            </w:r>
          </w:p>
        </w:tc>
      </w:tr>
      <w:tr w:rsidR="003051AC" w:rsidRPr="00734C56" w14:paraId="62A05C78" w14:textId="77777777" w:rsidTr="00734C56">
        <w:trPr>
          <w:trHeight w:val="20"/>
        </w:trPr>
        <w:tc>
          <w:tcPr>
            <w:tcW w:w="6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A7219C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CALABARZON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C15B41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1,960,100.00</w:t>
            </w:r>
          </w:p>
        </w:tc>
        <w:tc>
          <w:tcPr>
            <w:tcW w:w="4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69093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4,697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52793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1,689,515.26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C19E2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3,898,207.60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9A0A9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3,288,354.81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9537A8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7,186,562.41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4EDB8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10,836,177.67</w:t>
            </w:r>
          </w:p>
        </w:tc>
      </w:tr>
      <w:tr w:rsidR="003051AC" w:rsidRPr="00734C56" w14:paraId="1E585D39" w14:textId="77777777" w:rsidTr="00734C56">
        <w:trPr>
          <w:trHeight w:val="20"/>
        </w:trPr>
        <w:tc>
          <w:tcPr>
            <w:tcW w:w="6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86360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MIMAROPA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9366A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1,938,971.58</w:t>
            </w:r>
          </w:p>
        </w:tc>
        <w:tc>
          <w:tcPr>
            <w:tcW w:w="4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9407E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24,756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C269E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10,348,008.00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27D8C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2,243,173.55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75155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859,605.00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77EBD2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3,102,778.55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9E84C6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15,389,758.13</w:t>
            </w:r>
          </w:p>
        </w:tc>
      </w:tr>
      <w:tr w:rsidR="003051AC" w:rsidRPr="00734C56" w14:paraId="15B670BD" w14:textId="77777777" w:rsidTr="00734C56">
        <w:trPr>
          <w:trHeight w:val="20"/>
        </w:trPr>
        <w:tc>
          <w:tcPr>
            <w:tcW w:w="6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FD1D83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620136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4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52732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18,521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D73F2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7,223,190.00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5C907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10,485,948.72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E01A3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40,704,948.22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F199DD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51,190,896.94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A89059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61,414,086.94</w:t>
            </w:r>
          </w:p>
        </w:tc>
      </w:tr>
      <w:tr w:rsidR="003051AC" w:rsidRPr="00734C56" w14:paraId="385A803A" w14:textId="77777777" w:rsidTr="00734C56">
        <w:trPr>
          <w:trHeight w:val="20"/>
        </w:trPr>
        <w:tc>
          <w:tcPr>
            <w:tcW w:w="6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0FC44D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VI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A75F1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1,150,000.00</w:t>
            </w:r>
          </w:p>
        </w:tc>
        <w:tc>
          <w:tcPr>
            <w:tcW w:w="4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B92B0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18,194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7589C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6,755,520.00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F1704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7,299,157.17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2ACBA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3,713,837.50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D91EDB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11,012,994.67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8195BE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18,918,514.67</w:t>
            </w:r>
          </w:p>
        </w:tc>
      </w:tr>
      <w:tr w:rsidR="003051AC" w:rsidRPr="00734C56" w14:paraId="73F202DB" w14:textId="77777777" w:rsidTr="00734C56">
        <w:trPr>
          <w:trHeight w:val="20"/>
        </w:trPr>
        <w:tc>
          <w:tcPr>
            <w:tcW w:w="6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6019F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VII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A8EE5B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4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CD861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16,135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5B802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5,808,600.00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11C77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18,731,977.83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DBEE6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18,505,387.11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143D8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37,237,364.94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D45C9F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46,045,964.94</w:t>
            </w:r>
          </w:p>
        </w:tc>
      </w:tr>
      <w:tr w:rsidR="003051AC" w:rsidRPr="00734C56" w14:paraId="632F6D7F" w14:textId="77777777" w:rsidTr="00734C56">
        <w:trPr>
          <w:trHeight w:val="20"/>
        </w:trPr>
        <w:tc>
          <w:tcPr>
            <w:tcW w:w="6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6491D5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3B5F08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1,401,960.00</w:t>
            </w:r>
          </w:p>
        </w:tc>
        <w:tc>
          <w:tcPr>
            <w:tcW w:w="4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9C120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24,167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2AEFD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8,734,437.14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FC287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1,304,119.84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68BBD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896,387.00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AB8B35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2,200,506.84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0836E9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12,336,903.98</w:t>
            </w:r>
          </w:p>
        </w:tc>
      </w:tr>
      <w:tr w:rsidR="003051AC" w:rsidRPr="00734C56" w14:paraId="3AFF40B4" w14:textId="77777777" w:rsidTr="00734C56">
        <w:trPr>
          <w:trHeight w:val="20"/>
        </w:trPr>
        <w:tc>
          <w:tcPr>
            <w:tcW w:w="6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888DDC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IX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B6F9E6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843,321.35</w:t>
            </w:r>
          </w:p>
        </w:tc>
        <w:tc>
          <w:tcPr>
            <w:tcW w:w="4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DE99D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10,119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7E595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3,642,840.00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F4BCA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813,730.00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B42E0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3,793,242.35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615195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4,606,972.35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83A28A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9,093,133.70</w:t>
            </w:r>
          </w:p>
        </w:tc>
      </w:tr>
      <w:tr w:rsidR="003051AC" w:rsidRPr="00734C56" w14:paraId="0A4E2055" w14:textId="77777777" w:rsidTr="00734C56">
        <w:trPr>
          <w:trHeight w:val="20"/>
        </w:trPr>
        <w:tc>
          <w:tcPr>
            <w:tcW w:w="6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2188C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54A6EC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4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49383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1,512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BD206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544,320.00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4E3F5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6,593,047.20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9F52F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30,362,019.90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0FFB58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36,955,067.10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2A2EB1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40,499,387.10</w:t>
            </w:r>
          </w:p>
        </w:tc>
      </w:tr>
      <w:tr w:rsidR="003051AC" w:rsidRPr="00734C56" w14:paraId="2DC9E511" w14:textId="77777777" w:rsidTr="00734C56">
        <w:trPr>
          <w:trHeight w:val="20"/>
        </w:trPr>
        <w:tc>
          <w:tcPr>
            <w:tcW w:w="6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3B2329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XI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0C445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3,028,750.00</w:t>
            </w:r>
          </w:p>
        </w:tc>
        <w:tc>
          <w:tcPr>
            <w:tcW w:w="4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665F4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25,381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22825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9,185,285.40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AD980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11,053,700.00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6D6F9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10,921,627.34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21CF46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21,975,327.34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19687B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34,189,362.74</w:t>
            </w:r>
          </w:p>
        </w:tc>
      </w:tr>
      <w:tr w:rsidR="003051AC" w:rsidRPr="00734C56" w14:paraId="35DEB25E" w14:textId="77777777" w:rsidTr="00734C56">
        <w:trPr>
          <w:trHeight w:val="20"/>
        </w:trPr>
        <w:tc>
          <w:tcPr>
            <w:tcW w:w="6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65815D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XII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208B81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584,701.68</w:t>
            </w:r>
          </w:p>
        </w:tc>
        <w:tc>
          <w:tcPr>
            <w:tcW w:w="4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4889E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4,724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9C415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1,894,324.00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41352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3,484,211.10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62BBF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2,348,437.26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191B00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5,832,648.36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2D95F4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8,311,674.04</w:t>
            </w:r>
          </w:p>
        </w:tc>
      </w:tr>
      <w:tr w:rsidR="003051AC" w:rsidRPr="00734C56" w14:paraId="47DE10F9" w14:textId="77777777" w:rsidTr="00734C56">
        <w:trPr>
          <w:trHeight w:val="20"/>
        </w:trPr>
        <w:tc>
          <w:tcPr>
            <w:tcW w:w="6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6D9C63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CARAGA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154C71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4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27A06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10,014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FEC1B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3,821,443.00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19CEE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946,748.00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E1720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4,806,699.85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F9F71A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5,753,447.85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895711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12,574,890.85</w:t>
            </w:r>
          </w:p>
        </w:tc>
      </w:tr>
      <w:tr w:rsidR="003051AC" w:rsidRPr="00734C56" w14:paraId="1E2C54E5" w14:textId="77777777" w:rsidTr="00734C56">
        <w:trPr>
          <w:trHeight w:val="20"/>
        </w:trPr>
        <w:tc>
          <w:tcPr>
            <w:tcW w:w="6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E0C94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NCR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567BA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3,292,543.50</w:t>
            </w:r>
          </w:p>
        </w:tc>
        <w:tc>
          <w:tcPr>
            <w:tcW w:w="4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91BDD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3,665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EF090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1,341,789.14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F80C7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1,998,746.57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C4289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928,770.00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815F5B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2,927,516.57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33FAE1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7,561,849.21</w:t>
            </w:r>
          </w:p>
        </w:tc>
      </w:tr>
      <w:tr w:rsidR="003051AC" w:rsidRPr="00734C56" w14:paraId="3AFE46C3" w14:textId="77777777" w:rsidTr="00734C56">
        <w:trPr>
          <w:trHeight w:val="20"/>
        </w:trPr>
        <w:tc>
          <w:tcPr>
            <w:tcW w:w="6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18FCA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CAR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5ED83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2,691,805.95</w:t>
            </w:r>
          </w:p>
        </w:tc>
        <w:tc>
          <w:tcPr>
            <w:tcW w:w="4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565C0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15,893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D4234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5,958,534.80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19B5C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5,614,520.30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1E36D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4,912,718.60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E9F9F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10,527,238.90</w:t>
            </w:r>
          </w:p>
        </w:tc>
        <w:tc>
          <w:tcPr>
            <w:tcW w:w="7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4E5421" w14:textId="77777777" w:rsidR="003051AC" w:rsidRPr="00734C56" w:rsidRDefault="003051AC" w:rsidP="00305E00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734C56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19,177,579.65</w:t>
            </w:r>
          </w:p>
        </w:tc>
      </w:tr>
    </w:tbl>
    <w:p w14:paraId="47ED7956" w14:textId="77777777" w:rsidR="003051AC" w:rsidRPr="00734C56" w:rsidRDefault="003051AC" w:rsidP="00305E00">
      <w:pPr>
        <w:spacing w:after="0" w:line="240" w:lineRule="auto"/>
        <w:ind w:left="720" w:hanging="720"/>
        <w:contextualSpacing/>
        <w:jc w:val="both"/>
        <w:rPr>
          <w:rFonts w:ascii="Arial" w:eastAsia="Arial" w:hAnsi="Arial" w:cs="Arial"/>
          <w:sz w:val="16"/>
          <w:szCs w:val="24"/>
        </w:rPr>
      </w:pPr>
      <w:r w:rsidRPr="00734C56">
        <w:rPr>
          <w:rFonts w:ascii="Arial" w:hAnsi="Arial" w:cs="Arial"/>
          <w:i/>
          <w:sz w:val="16"/>
          <w:szCs w:val="24"/>
        </w:rPr>
        <w:t>*</w:t>
      </w:r>
      <w:bookmarkStart w:id="3" w:name="_Situational_Report_1"/>
      <w:bookmarkEnd w:id="3"/>
      <w:r w:rsidRPr="00734C56">
        <w:rPr>
          <w:rFonts w:ascii="Arial" w:hAnsi="Arial" w:cs="Arial"/>
          <w:i/>
          <w:sz w:val="16"/>
          <w:szCs w:val="24"/>
        </w:rPr>
        <w:t>Quick Response Fund (QRF) as of 26 July 2019</w:t>
      </w:r>
    </w:p>
    <w:p w14:paraId="553835CE" w14:textId="5F268B0C" w:rsidR="00993737" w:rsidRPr="00305E00" w:rsidRDefault="00993737" w:rsidP="00305E0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4B13B4D" w14:textId="77777777" w:rsidR="00993737" w:rsidRPr="00305E00" w:rsidRDefault="00993737" w:rsidP="00305E0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E20B026" w14:textId="77777777" w:rsidR="00734C56" w:rsidRDefault="00734C56">
      <w:pPr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br w:type="page"/>
      </w:r>
    </w:p>
    <w:p w14:paraId="1C9C1DC4" w14:textId="69F81A95" w:rsidR="00C46A8D" w:rsidRPr="00734C56" w:rsidRDefault="00C46A8D" w:rsidP="00305E0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734C56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Reports</w:t>
      </w:r>
    </w:p>
    <w:p w14:paraId="2C2EA9FE" w14:textId="77777777" w:rsidR="00C46A8D" w:rsidRPr="00305E00" w:rsidRDefault="00C46A8D" w:rsidP="00305E00">
      <w:pPr>
        <w:pStyle w:val="Heading1"/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</w:p>
    <w:p w14:paraId="153C3B2F" w14:textId="22F42EBC" w:rsidR="00C46A8D" w:rsidRPr="00305E00" w:rsidRDefault="00C46A8D" w:rsidP="00305E00">
      <w:pPr>
        <w:pStyle w:val="Heading1"/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305E00">
        <w:rPr>
          <w:rFonts w:ascii="Arial" w:eastAsia="Arial" w:hAnsi="Arial" w:cs="Arial"/>
          <w:sz w:val="24"/>
          <w:szCs w:val="24"/>
        </w:rPr>
        <w:t>DSWD-DRMB</w:t>
      </w:r>
    </w:p>
    <w:tbl>
      <w:tblPr>
        <w:tblW w:w="9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3"/>
        <w:gridCol w:w="7800"/>
      </w:tblGrid>
      <w:tr w:rsidR="00C46A8D" w:rsidRPr="00734C56" w14:paraId="01C5193C" w14:textId="77777777" w:rsidTr="00C46A8D">
        <w:trPr>
          <w:trHeight w:val="62"/>
          <w:jc w:val="center"/>
        </w:trPr>
        <w:tc>
          <w:tcPr>
            <w:tcW w:w="2083" w:type="dxa"/>
            <w:vAlign w:val="bottom"/>
          </w:tcPr>
          <w:p w14:paraId="42B73F9C" w14:textId="77777777" w:rsidR="00C46A8D" w:rsidRPr="00734C56" w:rsidRDefault="00C46A8D" w:rsidP="00305E00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734C56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7800" w:type="dxa"/>
            <w:vAlign w:val="bottom"/>
          </w:tcPr>
          <w:p w14:paraId="0B100CBB" w14:textId="7B6038E6" w:rsidR="00C46A8D" w:rsidRPr="00734C56" w:rsidRDefault="005C1D11" w:rsidP="00305E00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734C56">
              <w:rPr>
                <w:rFonts w:ascii="Arial" w:eastAsia="Arial Narrow" w:hAnsi="Arial" w:cs="Arial"/>
                <w:b/>
                <w:sz w:val="20"/>
                <w:szCs w:val="24"/>
              </w:rPr>
              <w:t>SITUATIONS / ACTIONS</w:t>
            </w:r>
            <w:r w:rsidR="00C46A8D" w:rsidRPr="00734C56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734C56">
              <w:rPr>
                <w:rFonts w:ascii="Arial" w:eastAsia="Arial Narrow" w:hAnsi="Arial" w:cs="Arial"/>
                <w:b/>
                <w:sz w:val="20"/>
                <w:szCs w:val="24"/>
              </w:rPr>
              <w:t>UNDER</w:t>
            </w:r>
            <w:r w:rsidR="00C46A8D" w:rsidRPr="00734C56">
              <w:rPr>
                <w:rFonts w:ascii="Arial" w:eastAsia="Arial Narrow" w:hAnsi="Arial" w:cs="Arial"/>
                <w:b/>
                <w:sz w:val="20"/>
                <w:szCs w:val="24"/>
              </w:rPr>
              <w:t>TAKEN</w:t>
            </w:r>
          </w:p>
        </w:tc>
      </w:tr>
      <w:tr w:rsidR="00C46A8D" w:rsidRPr="00734C56" w14:paraId="117FBFFE" w14:textId="77777777" w:rsidTr="00F821A6">
        <w:trPr>
          <w:jc w:val="center"/>
        </w:trPr>
        <w:tc>
          <w:tcPr>
            <w:tcW w:w="2083" w:type="dxa"/>
            <w:vAlign w:val="center"/>
          </w:tcPr>
          <w:p w14:paraId="0165C83A" w14:textId="2B467356" w:rsidR="00C46A8D" w:rsidRPr="00734C56" w:rsidRDefault="005A345D" w:rsidP="00305E00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734C5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28</w:t>
            </w:r>
            <w:r w:rsidR="00090717" w:rsidRPr="00734C5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July 2019</w:t>
            </w:r>
          </w:p>
        </w:tc>
        <w:tc>
          <w:tcPr>
            <w:tcW w:w="7800" w:type="dxa"/>
          </w:tcPr>
          <w:p w14:paraId="57A5BA31" w14:textId="64A92607" w:rsidR="006C3402" w:rsidRPr="00734C56" w:rsidRDefault="006C3402" w:rsidP="00305E00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734C5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The Disaster Response Management Bureau (DRMB) is on </w:t>
            </w:r>
            <w:r w:rsidRPr="00734C56">
              <w:rPr>
                <w:rFonts w:ascii="Arial" w:eastAsia="Arial Narrow" w:hAnsi="Arial" w:cs="Arial"/>
                <w:b/>
                <w:color w:val="0070C0"/>
                <w:sz w:val="20"/>
                <w:szCs w:val="24"/>
              </w:rPr>
              <w:t>BLUE</w:t>
            </w:r>
            <w:r w:rsidRPr="00734C5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5D5F39" w:rsidRPr="00734C5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alert level status </w:t>
            </w:r>
            <w:r w:rsidRPr="00734C5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and is </w:t>
            </w:r>
            <w:r w:rsidR="009211FE" w:rsidRPr="00734C5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closely coordinating with the DSWD-</w:t>
            </w:r>
            <w:r w:rsidR="005D5F39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FO </w:t>
            </w:r>
            <w:r w:rsidR="009211FE" w:rsidRPr="00734C5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II </w:t>
            </w:r>
            <w:r w:rsidRPr="00734C5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for significant disaster preparedness for response updates.</w:t>
            </w:r>
          </w:p>
          <w:p w14:paraId="446A6E15" w14:textId="1415DF45" w:rsidR="00C46A8D" w:rsidRPr="00734C56" w:rsidRDefault="006C3402" w:rsidP="00305E00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734C5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All QRT members and emergency equipment are on standby and ready for deployment.</w:t>
            </w:r>
          </w:p>
          <w:p w14:paraId="38BEF9BE" w14:textId="6E40A296" w:rsidR="00815A89" w:rsidRPr="005D5F39" w:rsidRDefault="00A60B98" w:rsidP="005D5F39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734C5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DRMB Team </w:t>
            </w:r>
            <w:r w:rsidR="005D5F39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will </w:t>
            </w:r>
            <w:r w:rsidRPr="00734C5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join the Office of Civil Defense (OCD) for the Rapid Damage Assessment and Needs Analysis (RDANA) and provide technical assistance along delivery of response services to the </w:t>
            </w:r>
            <w:r w:rsidR="005D5F39" w:rsidRPr="00734C5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affected</w:t>
            </w:r>
            <w:r w:rsidR="005D5F39" w:rsidRPr="00734C5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Pr="00734C5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families. </w:t>
            </w:r>
          </w:p>
        </w:tc>
      </w:tr>
    </w:tbl>
    <w:p w14:paraId="70032124" w14:textId="77777777" w:rsidR="00CE215F" w:rsidRPr="00305E00" w:rsidRDefault="00CE215F" w:rsidP="00305E00">
      <w:pPr>
        <w:pStyle w:val="Heading1"/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p w14:paraId="3DAF3863" w14:textId="4962D49A" w:rsidR="005D5F39" w:rsidRPr="00305E00" w:rsidRDefault="005D5F39" w:rsidP="005D5F39">
      <w:pPr>
        <w:pStyle w:val="Heading1"/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305E00">
        <w:rPr>
          <w:rFonts w:ascii="Arial" w:eastAsia="Arial" w:hAnsi="Arial" w:cs="Arial"/>
          <w:sz w:val="24"/>
          <w:szCs w:val="24"/>
        </w:rPr>
        <w:t>DSWD-</w:t>
      </w:r>
      <w:r>
        <w:rPr>
          <w:rFonts w:ascii="Arial" w:eastAsia="Arial" w:hAnsi="Arial" w:cs="Arial"/>
          <w:sz w:val="24"/>
          <w:szCs w:val="24"/>
        </w:rPr>
        <w:t>NRLMB</w:t>
      </w:r>
    </w:p>
    <w:tbl>
      <w:tblPr>
        <w:tblW w:w="9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3"/>
        <w:gridCol w:w="7800"/>
      </w:tblGrid>
      <w:tr w:rsidR="005D5F39" w:rsidRPr="00734C56" w14:paraId="08B01FA0" w14:textId="77777777" w:rsidTr="002F5D6B">
        <w:trPr>
          <w:trHeight w:val="62"/>
          <w:jc w:val="center"/>
        </w:trPr>
        <w:tc>
          <w:tcPr>
            <w:tcW w:w="2083" w:type="dxa"/>
            <w:vAlign w:val="bottom"/>
          </w:tcPr>
          <w:p w14:paraId="0612F081" w14:textId="77777777" w:rsidR="005D5F39" w:rsidRPr="00734C56" w:rsidRDefault="005D5F39" w:rsidP="002F5D6B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734C56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7800" w:type="dxa"/>
            <w:vAlign w:val="bottom"/>
          </w:tcPr>
          <w:p w14:paraId="1FA143BB" w14:textId="77777777" w:rsidR="005D5F39" w:rsidRPr="00734C56" w:rsidRDefault="005D5F39" w:rsidP="002F5D6B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734C56">
              <w:rPr>
                <w:rFonts w:ascii="Arial" w:eastAsia="Arial Narrow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D5F39" w:rsidRPr="00734C56" w14:paraId="5E5B51DA" w14:textId="77777777" w:rsidTr="002F5D6B">
        <w:trPr>
          <w:jc w:val="center"/>
        </w:trPr>
        <w:tc>
          <w:tcPr>
            <w:tcW w:w="2083" w:type="dxa"/>
            <w:vAlign w:val="center"/>
          </w:tcPr>
          <w:p w14:paraId="67B9E390" w14:textId="77777777" w:rsidR="005D5F39" w:rsidRPr="00734C56" w:rsidRDefault="005D5F39" w:rsidP="002F5D6B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734C5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28 July 2019</w:t>
            </w:r>
          </w:p>
        </w:tc>
        <w:tc>
          <w:tcPr>
            <w:tcW w:w="7800" w:type="dxa"/>
          </w:tcPr>
          <w:p w14:paraId="6DDD5037" w14:textId="67F0590B" w:rsidR="005D5F39" w:rsidRPr="00734C56" w:rsidRDefault="005D5F39" w:rsidP="005D5F39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734C5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D</w:t>
            </w:r>
            <w:r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SWD-NRLMB will </w:t>
            </w:r>
            <w:r w:rsidRPr="00734C5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augment </w:t>
            </w:r>
            <w:r>
              <w:rPr>
                <w:rFonts w:ascii="Arial" w:eastAsia="Arial Narrow" w:hAnsi="Arial" w:cs="Arial"/>
                <w:color w:val="0070C0"/>
                <w:sz w:val="20"/>
                <w:szCs w:val="24"/>
              </w:rPr>
              <w:t>to DSWD-FO II</w:t>
            </w:r>
            <w:r w:rsidRPr="00734C5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non</w:t>
            </w:r>
            <w:r w:rsidRPr="00734C5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-food </w:t>
            </w:r>
            <w:r w:rsidRPr="00734C5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items </w:t>
            </w:r>
            <w:r w:rsidRPr="00734C5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such as 120 </w:t>
            </w:r>
            <w:r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units of </w:t>
            </w:r>
            <w:r w:rsidRPr="00734C5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tents, 50</w:t>
            </w:r>
            <w:r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pieces of</w:t>
            </w:r>
            <w:r w:rsidRPr="00734C5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folding beds</w:t>
            </w:r>
            <w:r>
              <w:rPr>
                <w:rFonts w:ascii="Arial" w:eastAsia="Arial Narrow" w:hAnsi="Arial" w:cs="Arial"/>
                <w:color w:val="0070C0"/>
                <w:sz w:val="20"/>
                <w:szCs w:val="24"/>
              </w:rPr>
              <w:t>,</w:t>
            </w:r>
            <w:r w:rsidRPr="00734C5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and 400 </w:t>
            </w:r>
            <w:r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pieces of </w:t>
            </w:r>
            <w:r w:rsidRPr="00734C5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sleeping kit</w:t>
            </w:r>
            <w:r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s for the affected families. These goods will be transported from Clark, Pampanga to </w:t>
            </w:r>
            <w:proofErr w:type="spellStart"/>
            <w:r>
              <w:rPr>
                <w:rFonts w:ascii="Arial" w:eastAsia="Arial Narrow" w:hAnsi="Arial" w:cs="Arial"/>
                <w:color w:val="0070C0"/>
                <w:sz w:val="20"/>
                <w:szCs w:val="24"/>
              </w:rPr>
              <w:t>Batanes</w:t>
            </w:r>
            <w:proofErr w:type="spellEnd"/>
            <w:r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through C130.</w:t>
            </w:r>
          </w:p>
        </w:tc>
      </w:tr>
    </w:tbl>
    <w:p w14:paraId="70600C68" w14:textId="77777777" w:rsidR="005D5F39" w:rsidRDefault="005D5F39" w:rsidP="00305E00">
      <w:pPr>
        <w:pStyle w:val="Heading1"/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p w14:paraId="6DE8344A" w14:textId="1C50280B" w:rsidR="00CE215F" w:rsidRPr="00305E00" w:rsidRDefault="00B16872" w:rsidP="00305E00">
      <w:pPr>
        <w:pStyle w:val="Heading1"/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305E00">
        <w:rPr>
          <w:rFonts w:ascii="Arial" w:eastAsia="Arial" w:hAnsi="Arial" w:cs="Arial"/>
          <w:sz w:val="24"/>
          <w:szCs w:val="24"/>
        </w:rPr>
        <w:t xml:space="preserve">DSWD-FO </w:t>
      </w:r>
      <w:r w:rsidR="0048062F" w:rsidRPr="00305E00">
        <w:rPr>
          <w:rFonts w:ascii="Arial" w:eastAsia="Arial" w:hAnsi="Arial" w:cs="Arial"/>
          <w:sz w:val="24"/>
          <w:szCs w:val="24"/>
        </w:rPr>
        <w:t>II</w:t>
      </w:r>
    </w:p>
    <w:tbl>
      <w:tblPr>
        <w:tblW w:w="9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3"/>
        <w:gridCol w:w="7800"/>
      </w:tblGrid>
      <w:tr w:rsidR="00CE215F" w:rsidRPr="00734C56" w14:paraId="43F3BC81" w14:textId="77777777" w:rsidTr="00F821A6">
        <w:trPr>
          <w:trHeight w:val="62"/>
          <w:jc w:val="center"/>
        </w:trPr>
        <w:tc>
          <w:tcPr>
            <w:tcW w:w="2083" w:type="dxa"/>
            <w:vAlign w:val="bottom"/>
          </w:tcPr>
          <w:p w14:paraId="002ADBEB" w14:textId="77777777" w:rsidR="00CE215F" w:rsidRPr="00734C56" w:rsidRDefault="00CE215F" w:rsidP="00305E00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734C56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7800" w:type="dxa"/>
            <w:vAlign w:val="bottom"/>
          </w:tcPr>
          <w:p w14:paraId="0743828B" w14:textId="77777777" w:rsidR="00CE215F" w:rsidRPr="00734C56" w:rsidRDefault="00CE215F" w:rsidP="00305E00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734C56">
              <w:rPr>
                <w:rFonts w:ascii="Arial" w:eastAsia="Arial Narrow" w:hAnsi="Arial" w:cs="Arial"/>
                <w:b/>
                <w:sz w:val="20"/>
                <w:szCs w:val="24"/>
              </w:rPr>
              <w:t>ACTION(S) TAKEN</w:t>
            </w:r>
          </w:p>
        </w:tc>
      </w:tr>
      <w:tr w:rsidR="00C23522" w:rsidRPr="00C23522" w14:paraId="20D9CAFE" w14:textId="77777777" w:rsidTr="00F821A6">
        <w:trPr>
          <w:jc w:val="center"/>
        </w:trPr>
        <w:tc>
          <w:tcPr>
            <w:tcW w:w="2083" w:type="dxa"/>
            <w:vAlign w:val="center"/>
          </w:tcPr>
          <w:p w14:paraId="789376F2" w14:textId="7DBCC997" w:rsidR="00CE215F" w:rsidRPr="00C23522" w:rsidRDefault="005A345D" w:rsidP="00305E00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C23522">
              <w:rPr>
                <w:rFonts w:ascii="Arial" w:eastAsia="Arial Narrow" w:hAnsi="Arial" w:cs="Arial"/>
                <w:sz w:val="20"/>
                <w:szCs w:val="24"/>
              </w:rPr>
              <w:t>2</w:t>
            </w:r>
            <w:r w:rsidR="001A527B" w:rsidRPr="00C23522">
              <w:rPr>
                <w:rFonts w:ascii="Arial" w:eastAsia="Arial Narrow" w:hAnsi="Arial" w:cs="Arial"/>
                <w:sz w:val="20"/>
                <w:szCs w:val="24"/>
              </w:rPr>
              <w:t>7</w:t>
            </w:r>
            <w:r w:rsidR="004C5FC5" w:rsidRPr="00C23522">
              <w:rPr>
                <w:rFonts w:ascii="Arial" w:eastAsia="Arial Narrow" w:hAnsi="Arial" w:cs="Arial"/>
                <w:sz w:val="20"/>
                <w:szCs w:val="24"/>
              </w:rPr>
              <w:t xml:space="preserve"> </w:t>
            </w:r>
            <w:r w:rsidR="00D327D7" w:rsidRPr="00C23522">
              <w:rPr>
                <w:rFonts w:ascii="Arial" w:eastAsia="Arial Narrow" w:hAnsi="Arial" w:cs="Arial"/>
                <w:sz w:val="20"/>
                <w:szCs w:val="24"/>
              </w:rPr>
              <w:t>July 2019</w:t>
            </w:r>
          </w:p>
        </w:tc>
        <w:tc>
          <w:tcPr>
            <w:tcW w:w="7800" w:type="dxa"/>
          </w:tcPr>
          <w:p w14:paraId="342D0386" w14:textId="2BF77A46" w:rsidR="006C3402" w:rsidRPr="00C23522" w:rsidRDefault="00D57D0D" w:rsidP="00305E00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23522">
              <w:rPr>
                <w:rFonts w:ascii="Arial" w:hAnsi="Arial" w:cs="Arial"/>
                <w:sz w:val="20"/>
                <w:szCs w:val="24"/>
              </w:rPr>
              <w:t xml:space="preserve">DSWD-FO </w:t>
            </w:r>
            <w:r w:rsidR="006C3402" w:rsidRPr="00C23522">
              <w:rPr>
                <w:rFonts w:ascii="Arial" w:hAnsi="Arial" w:cs="Arial"/>
                <w:sz w:val="20"/>
                <w:szCs w:val="24"/>
              </w:rPr>
              <w:t xml:space="preserve">II is on </w:t>
            </w:r>
            <w:r w:rsidR="00F91BCF" w:rsidRPr="00C23522">
              <w:rPr>
                <w:rFonts w:ascii="Arial" w:hAnsi="Arial" w:cs="Arial"/>
                <w:b/>
                <w:sz w:val="20"/>
                <w:szCs w:val="24"/>
              </w:rPr>
              <w:t>RED</w:t>
            </w:r>
            <w:r w:rsidR="006C3402" w:rsidRPr="00C23522">
              <w:rPr>
                <w:rFonts w:ascii="Arial" w:hAnsi="Arial" w:cs="Arial"/>
                <w:sz w:val="20"/>
                <w:szCs w:val="24"/>
              </w:rPr>
              <w:t xml:space="preserve"> Alert Level Status.</w:t>
            </w:r>
          </w:p>
          <w:p w14:paraId="4208B0BA" w14:textId="7DEF220B" w:rsidR="009211FE" w:rsidRPr="00C23522" w:rsidRDefault="009211FE" w:rsidP="00305E00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23522">
              <w:rPr>
                <w:rFonts w:ascii="Arial" w:hAnsi="Arial" w:cs="Arial"/>
                <w:sz w:val="20"/>
                <w:szCs w:val="24"/>
              </w:rPr>
              <w:t xml:space="preserve">There are a total of 100 </w:t>
            </w:r>
            <w:r w:rsidR="005C3879" w:rsidRPr="00C23522">
              <w:rPr>
                <w:rFonts w:ascii="Arial" w:hAnsi="Arial" w:cs="Arial"/>
                <w:sz w:val="20"/>
                <w:szCs w:val="24"/>
              </w:rPr>
              <w:t xml:space="preserve">family food packs </w:t>
            </w:r>
            <w:r w:rsidR="00C07FCA" w:rsidRPr="00C23522">
              <w:rPr>
                <w:rFonts w:ascii="Arial" w:hAnsi="Arial" w:cs="Arial"/>
                <w:sz w:val="20"/>
                <w:szCs w:val="24"/>
              </w:rPr>
              <w:t xml:space="preserve">worth </w:t>
            </w:r>
            <w:r w:rsidR="00C07FCA" w:rsidRPr="00C23522">
              <w:rPr>
                <w:rFonts w:ascii="Arial" w:eastAsia="Arial" w:hAnsi="Arial" w:cs="Arial"/>
                <w:sz w:val="20"/>
                <w:szCs w:val="24"/>
              </w:rPr>
              <w:t>₱</w:t>
            </w:r>
            <w:r w:rsidR="00C07FCA" w:rsidRPr="00C23522">
              <w:rPr>
                <w:rFonts w:ascii="Arial" w:hAnsi="Arial" w:cs="Arial"/>
                <w:sz w:val="20"/>
                <w:szCs w:val="24"/>
              </w:rPr>
              <w:t xml:space="preserve">36,000 </w:t>
            </w:r>
            <w:r w:rsidRPr="00C23522">
              <w:rPr>
                <w:rFonts w:ascii="Arial" w:hAnsi="Arial" w:cs="Arial"/>
                <w:sz w:val="20"/>
                <w:szCs w:val="24"/>
              </w:rPr>
              <w:t xml:space="preserve">and 100 boxes of </w:t>
            </w:r>
            <w:r w:rsidR="003C12B1" w:rsidRPr="00C23522">
              <w:rPr>
                <w:rFonts w:ascii="Arial" w:hAnsi="Arial" w:cs="Arial"/>
                <w:sz w:val="20"/>
                <w:szCs w:val="24"/>
              </w:rPr>
              <w:t xml:space="preserve">instant </w:t>
            </w:r>
            <w:r w:rsidRPr="00C23522">
              <w:rPr>
                <w:rFonts w:ascii="Arial" w:hAnsi="Arial" w:cs="Arial"/>
                <w:sz w:val="20"/>
                <w:szCs w:val="24"/>
              </w:rPr>
              <w:t xml:space="preserve">coffee readily available for pick-up at the </w:t>
            </w:r>
            <w:r w:rsidR="006C3402" w:rsidRPr="00C23522">
              <w:rPr>
                <w:rFonts w:ascii="Arial" w:hAnsi="Arial" w:cs="Arial"/>
                <w:sz w:val="20"/>
                <w:szCs w:val="24"/>
              </w:rPr>
              <w:t>DSWD-FO</w:t>
            </w:r>
            <w:r w:rsidR="00815A89" w:rsidRPr="00C23522">
              <w:rPr>
                <w:rFonts w:ascii="Arial" w:hAnsi="Arial" w:cs="Arial"/>
                <w:sz w:val="20"/>
                <w:szCs w:val="24"/>
              </w:rPr>
              <w:t xml:space="preserve"> II</w:t>
            </w:r>
            <w:r w:rsidR="006C3402" w:rsidRPr="00C2352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C23522">
              <w:rPr>
                <w:rFonts w:ascii="Arial" w:hAnsi="Arial" w:cs="Arial"/>
                <w:sz w:val="20"/>
                <w:szCs w:val="24"/>
              </w:rPr>
              <w:t xml:space="preserve">to be delivered to </w:t>
            </w:r>
            <w:proofErr w:type="spellStart"/>
            <w:r w:rsidRPr="00C23522">
              <w:rPr>
                <w:rFonts w:ascii="Arial" w:hAnsi="Arial" w:cs="Arial"/>
                <w:sz w:val="20"/>
                <w:szCs w:val="24"/>
              </w:rPr>
              <w:t>Itbayat</w:t>
            </w:r>
            <w:proofErr w:type="spellEnd"/>
            <w:r w:rsidRPr="00C23522"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 w:rsidRPr="00C23522">
              <w:rPr>
                <w:rFonts w:ascii="Arial" w:hAnsi="Arial" w:cs="Arial"/>
                <w:sz w:val="20"/>
                <w:szCs w:val="24"/>
              </w:rPr>
              <w:t>Batanes</w:t>
            </w:r>
            <w:proofErr w:type="spellEnd"/>
            <w:r w:rsidRPr="00C23522">
              <w:rPr>
                <w:rFonts w:ascii="Arial" w:hAnsi="Arial" w:cs="Arial"/>
                <w:sz w:val="20"/>
                <w:szCs w:val="24"/>
              </w:rPr>
              <w:t xml:space="preserve">. </w:t>
            </w:r>
          </w:p>
          <w:p w14:paraId="1FF55E32" w14:textId="4A6ED660" w:rsidR="003C12B1" w:rsidRPr="00C23522" w:rsidRDefault="003C12B1" w:rsidP="00305E00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bookmarkStart w:id="4" w:name="_GoBack"/>
            <w:bookmarkEnd w:id="4"/>
            <w:r w:rsidRPr="00C23522">
              <w:rPr>
                <w:rFonts w:ascii="Arial" w:hAnsi="Arial" w:cs="Arial"/>
                <w:sz w:val="20"/>
                <w:szCs w:val="24"/>
              </w:rPr>
              <w:t xml:space="preserve">The DRMD </w:t>
            </w:r>
            <w:r w:rsidR="00FD096E" w:rsidRPr="00C23522">
              <w:rPr>
                <w:rFonts w:ascii="Arial" w:hAnsi="Arial" w:cs="Arial"/>
                <w:sz w:val="20"/>
                <w:szCs w:val="24"/>
              </w:rPr>
              <w:t>staff</w:t>
            </w:r>
            <w:r w:rsidRPr="00C23522">
              <w:rPr>
                <w:rFonts w:ascii="Arial" w:hAnsi="Arial" w:cs="Arial"/>
                <w:sz w:val="20"/>
                <w:szCs w:val="24"/>
              </w:rPr>
              <w:t xml:space="preserve"> will be deployed to the province of </w:t>
            </w:r>
            <w:proofErr w:type="spellStart"/>
            <w:r w:rsidRPr="00C23522">
              <w:rPr>
                <w:rFonts w:ascii="Arial" w:hAnsi="Arial" w:cs="Arial"/>
                <w:sz w:val="20"/>
                <w:szCs w:val="24"/>
              </w:rPr>
              <w:t>Batanes</w:t>
            </w:r>
            <w:proofErr w:type="spellEnd"/>
            <w:r w:rsidRPr="00C23522">
              <w:rPr>
                <w:rFonts w:ascii="Arial" w:hAnsi="Arial" w:cs="Arial"/>
                <w:sz w:val="20"/>
                <w:szCs w:val="24"/>
              </w:rPr>
              <w:t xml:space="preserve"> for augmentation support.</w:t>
            </w:r>
          </w:p>
          <w:p w14:paraId="3E02BDD2" w14:textId="2D1F1928" w:rsidR="003C12B1" w:rsidRPr="00C23522" w:rsidRDefault="003C12B1" w:rsidP="00305E00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23522">
              <w:rPr>
                <w:rFonts w:ascii="Arial" w:hAnsi="Arial" w:cs="Arial"/>
                <w:sz w:val="20"/>
                <w:szCs w:val="24"/>
              </w:rPr>
              <w:t xml:space="preserve">DSWD-FO II is continuously coordinating with SWADT </w:t>
            </w:r>
            <w:proofErr w:type="spellStart"/>
            <w:r w:rsidRPr="00C23522">
              <w:rPr>
                <w:rFonts w:ascii="Arial" w:hAnsi="Arial" w:cs="Arial"/>
                <w:sz w:val="20"/>
                <w:szCs w:val="24"/>
              </w:rPr>
              <w:t>Batanes</w:t>
            </w:r>
            <w:proofErr w:type="spellEnd"/>
            <w:r w:rsidRPr="00C23522">
              <w:rPr>
                <w:rFonts w:ascii="Arial" w:hAnsi="Arial" w:cs="Arial"/>
                <w:sz w:val="20"/>
                <w:szCs w:val="24"/>
              </w:rPr>
              <w:t xml:space="preserve"> and MSWDO of </w:t>
            </w:r>
            <w:proofErr w:type="spellStart"/>
            <w:r w:rsidRPr="00C23522">
              <w:rPr>
                <w:rFonts w:ascii="Arial" w:hAnsi="Arial" w:cs="Arial"/>
                <w:sz w:val="20"/>
                <w:szCs w:val="24"/>
              </w:rPr>
              <w:t>Itbayat</w:t>
            </w:r>
            <w:proofErr w:type="spellEnd"/>
            <w:r w:rsidRPr="00C23522">
              <w:rPr>
                <w:rFonts w:ascii="Arial" w:hAnsi="Arial" w:cs="Arial"/>
                <w:sz w:val="20"/>
                <w:szCs w:val="24"/>
              </w:rPr>
              <w:t xml:space="preserve"> for updates and request </w:t>
            </w:r>
            <w:r w:rsidR="00295B97" w:rsidRPr="00C23522">
              <w:rPr>
                <w:rFonts w:ascii="Arial" w:hAnsi="Arial" w:cs="Arial"/>
                <w:sz w:val="20"/>
                <w:szCs w:val="24"/>
              </w:rPr>
              <w:t xml:space="preserve">for </w:t>
            </w:r>
            <w:r w:rsidRPr="00C23522">
              <w:rPr>
                <w:rFonts w:ascii="Arial" w:hAnsi="Arial" w:cs="Arial"/>
                <w:sz w:val="20"/>
                <w:szCs w:val="24"/>
              </w:rPr>
              <w:t>augmentation support.</w:t>
            </w:r>
          </w:p>
          <w:p w14:paraId="76D69332" w14:textId="2D8FA483" w:rsidR="00815A89" w:rsidRPr="00C23522" w:rsidRDefault="00D41926" w:rsidP="00780917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23522">
              <w:rPr>
                <w:rFonts w:ascii="Arial" w:hAnsi="Arial" w:cs="Arial"/>
                <w:sz w:val="20"/>
                <w:szCs w:val="24"/>
              </w:rPr>
              <w:t>Two (</w:t>
            </w:r>
            <w:r w:rsidR="00815A89" w:rsidRPr="00C23522">
              <w:rPr>
                <w:rFonts w:ascii="Arial" w:hAnsi="Arial" w:cs="Arial"/>
                <w:sz w:val="20"/>
                <w:szCs w:val="24"/>
              </w:rPr>
              <w:t>2</w:t>
            </w:r>
            <w:r w:rsidRPr="00C23522">
              <w:rPr>
                <w:rFonts w:ascii="Arial" w:hAnsi="Arial" w:cs="Arial"/>
                <w:sz w:val="20"/>
                <w:szCs w:val="24"/>
              </w:rPr>
              <w:t>)</w:t>
            </w:r>
            <w:r w:rsidR="00815A89" w:rsidRPr="00C2352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C23522">
              <w:rPr>
                <w:rFonts w:ascii="Arial" w:hAnsi="Arial" w:cs="Arial"/>
                <w:sz w:val="20"/>
                <w:szCs w:val="24"/>
              </w:rPr>
              <w:t xml:space="preserve">social workers </w:t>
            </w:r>
            <w:r w:rsidR="00780917" w:rsidRPr="00C23522">
              <w:rPr>
                <w:rFonts w:ascii="Arial" w:hAnsi="Arial" w:cs="Arial"/>
                <w:sz w:val="20"/>
                <w:szCs w:val="24"/>
              </w:rPr>
              <w:t xml:space="preserve">will be deployed </w:t>
            </w:r>
            <w:r w:rsidR="00815A89" w:rsidRPr="00C23522">
              <w:rPr>
                <w:rFonts w:ascii="Arial" w:hAnsi="Arial" w:cs="Arial"/>
                <w:sz w:val="20"/>
                <w:szCs w:val="24"/>
              </w:rPr>
              <w:t>as DSWD representative</w:t>
            </w:r>
            <w:r w:rsidR="00780917" w:rsidRPr="00C23522">
              <w:rPr>
                <w:rFonts w:ascii="Arial" w:hAnsi="Arial" w:cs="Arial"/>
                <w:sz w:val="20"/>
                <w:szCs w:val="24"/>
              </w:rPr>
              <w:t>s</w:t>
            </w:r>
            <w:r w:rsidR="00815A89" w:rsidRPr="00C23522">
              <w:rPr>
                <w:rFonts w:ascii="Arial" w:hAnsi="Arial" w:cs="Arial"/>
                <w:sz w:val="20"/>
                <w:szCs w:val="24"/>
              </w:rPr>
              <w:t xml:space="preserve"> to augment the DOH Stress </w:t>
            </w:r>
            <w:proofErr w:type="spellStart"/>
            <w:r w:rsidR="00815A89" w:rsidRPr="00C23522">
              <w:rPr>
                <w:rFonts w:ascii="Arial" w:hAnsi="Arial" w:cs="Arial"/>
                <w:sz w:val="20"/>
                <w:szCs w:val="24"/>
              </w:rPr>
              <w:t>debriefers</w:t>
            </w:r>
            <w:proofErr w:type="spellEnd"/>
            <w:r w:rsidR="00815A89" w:rsidRPr="00C23522">
              <w:rPr>
                <w:rFonts w:ascii="Arial" w:hAnsi="Arial" w:cs="Arial"/>
                <w:sz w:val="20"/>
                <w:szCs w:val="24"/>
              </w:rPr>
              <w:t xml:space="preserve">. Likewise, </w:t>
            </w:r>
            <w:r w:rsidR="00780917" w:rsidRPr="00C23522">
              <w:rPr>
                <w:rFonts w:ascii="Arial" w:hAnsi="Arial" w:cs="Arial"/>
                <w:sz w:val="20"/>
                <w:szCs w:val="24"/>
              </w:rPr>
              <w:t>one (</w:t>
            </w:r>
            <w:r w:rsidR="00815A89" w:rsidRPr="00C23522">
              <w:rPr>
                <w:rFonts w:ascii="Arial" w:hAnsi="Arial" w:cs="Arial"/>
                <w:sz w:val="20"/>
                <w:szCs w:val="24"/>
              </w:rPr>
              <w:t>1</w:t>
            </w:r>
            <w:r w:rsidR="00780917" w:rsidRPr="00C23522">
              <w:rPr>
                <w:rFonts w:ascii="Arial" w:hAnsi="Arial" w:cs="Arial"/>
                <w:sz w:val="20"/>
                <w:szCs w:val="24"/>
              </w:rPr>
              <w:t>)</w:t>
            </w:r>
            <w:r w:rsidR="00815A89" w:rsidRPr="00C23522">
              <w:rPr>
                <w:rFonts w:ascii="Arial" w:hAnsi="Arial" w:cs="Arial"/>
                <w:sz w:val="20"/>
                <w:szCs w:val="24"/>
              </w:rPr>
              <w:t xml:space="preserve"> DRMD </w:t>
            </w:r>
            <w:r w:rsidR="00780917" w:rsidRPr="00C23522">
              <w:rPr>
                <w:rFonts w:ascii="Arial" w:hAnsi="Arial" w:cs="Arial"/>
                <w:sz w:val="20"/>
                <w:szCs w:val="24"/>
              </w:rPr>
              <w:t xml:space="preserve">staff will </w:t>
            </w:r>
            <w:r w:rsidR="00815A89" w:rsidRPr="00C23522">
              <w:rPr>
                <w:rFonts w:ascii="Arial" w:hAnsi="Arial" w:cs="Arial"/>
                <w:sz w:val="20"/>
                <w:szCs w:val="24"/>
              </w:rPr>
              <w:t xml:space="preserve">augment the SWAD Team in gathering and validating reports. </w:t>
            </w:r>
          </w:p>
        </w:tc>
      </w:tr>
    </w:tbl>
    <w:p w14:paraId="4D69030D" w14:textId="77777777" w:rsidR="00E96F9D" w:rsidRPr="00305E00" w:rsidRDefault="00E96F9D" w:rsidP="00305E00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1A98ED12" w14:textId="77777777" w:rsidR="00C46A8D" w:rsidRPr="00734C56" w:rsidRDefault="00C46A8D" w:rsidP="00305E00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sz w:val="20"/>
          <w:szCs w:val="24"/>
        </w:rPr>
      </w:pPr>
      <w:r w:rsidRPr="00734C56">
        <w:rPr>
          <w:rFonts w:ascii="Arial" w:eastAsia="Arial" w:hAnsi="Arial" w:cs="Arial"/>
          <w:sz w:val="20"/>
          <w:szCs w:val="24"/>
        </w:rPr>
        <w:t>***</w:t>
      </w:r>
    </w:p>
    <w:p w14:paraId="657E8F26" w14:textId="3B15BA58" w:rsidR="00481C91" w:rsidRPr="00734C56" w:rsidRDefault="00481C91" w:rsidP="00305E00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734C56">
        <w:rPr>
          <w:rFonts w:ascii="Arial" w:eastAsia="Arial" w:hAnsi="Arial" w:cs="Arial"/>
          <w:i/>
          <w:color w:val="263238"/>
          <w:sz w:val="20"/>
          <w:szCs w:val="24"/>
        </w:rPr>
        <w:t xml:space="preserve">The Disaster Response Operations Monitoring and Information Center (DROMIC) of the DSWD-DRMB is closely coordinating with DSWD-FO </w:t>
      </w:r>
      <w:r w:rsidR="0048062F" w:rsidRPr="00734C56">
        <w:rPr>
          <w:rFonts w:ascii="Arial" w:eastAsia="Arial" w:hAnsi="Arial" w:cs="Arial"/>
          <w:i/>
          <w:color w:val="263238"/>
          <w:sz w:val="20"/>
          <w:szCs w:val="24"/>
        </w:rPr>
        <w:t>II</w:t>
      </w:r>
      <w:r w:rsidR="004C5FC5" w:rsidRPr="00734C56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734C56">
        <w:rPr>
          <w:rFonts w:ascii="Arial" w:eastAsia="Arial" w:hAnsi="Arial" w:cs="Arial"/>
          <w:i/>
          <w:color w:val="263238"/>
          <w:sz w:val="20"/>
          <w:szCs w:val="24"/>
        </w:rPr>
        <w:t>for any significant disaster response updates.</w:t>
      </w:r>
    </w:p>
    <w:p w14:paraId="7E1C453A" w14:textId="0271E026" w:rsidR="00D723E0" w:rsidRPr="00305E00" w:rsidRDefault="00D723E0" w:rsidP="00305E0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21BE2A" w14:textId="76BCBE9A" w:rsidR="00090717" w:rsidRPr="00305E00" w:rsidRDefault="00090717" w:rsidP="00305E0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3AA88EC" w14:textId="619A6B47" w:rsidR="00D327D7" w:rsidRPr="00305E00" w:rsidRDefault="00D327D7" w:rsidP="00305E0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05E00">
        <w:rPr>
          <w:rFonts w:ascii="Arial" w:eastAsia="Arial" w:hAnsi="Arial" w:cs="Arial"/>
          <w:sz w:val="24"/>
          <w:szCs w:val="24"/>
        </w:rPr>
        <w:t>Prepared by:</w:t>
      </w:r>
    </w:p>
    <w:p w14:paraId="41E91EDE" w14:textId="77777777" w:rsidR="00D327D7" w:rsidRPr="00305E00" w:rsidRDefault="00D327D7" w:rsidP="00305E0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4C746DB" w14:textId="3BF3B676" w:rsidR="00D327D7" w:rsidRPr="00305E00" w:rsidRDefault="00012167" w:rsidP="00305E0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05E00">
        <w:rPr>
          <w:rFonts w:ascii="Arial" w:eastAsia="Arial" w:hAnsi="Arial" w:cs="Arial"/>
          <w:b/>
          <w:sz w:val="24"/>
          <w:szCs w:val="24"/>
        </w:rPr>
        <w:t>MARIJOY V. SAN BUENAVENTURA</w:t>
      </w:r>
    </w:p>
    <w:p w14:paraId="21D85689" w14:textId="77777777" w:rsidR="00086783" w:rsidRPr="00305E00" w:rsidRDefault="00086783" w:rsidP="00305E0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DD14960" w14:textId="77777777" w:rsidR="00D327D7" w:rsidRPr="00305E00" w:rsidRDefault="00D327D7" w:rsidP="00305E0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EF66FDE" w14:textId="1B5B15DF" w:rsidR="00D327D7" w:rsidRPr="00305E00" w:rsidRDefault="00D327D7" w:rsidP="00305E0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6C37C2" w14:textId="3DB509C7" w:rsidR="00BF3197" w:rsidRPr="00305E00" w:rsidRDefault="00012167" w:rsidP="00305E0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05E00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2721ACB9" w14:textId="282A508E" w:rsidR="00B81E4E" w:rsidRPr="00305E00" w:rsidRDefault="00C46A8D" w:rsidP="00305E0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05E00">
        <w:rPr>
          <w:rFonts w:ascii="Arial" w:eastAsia="Arial" w:hAnsi="Arial" w:cs="Arial"/>
          <w:sz w:val="24"/>
          <w:szCs w:val="24"/>
        </w:rPr>
        <w:t>Releasing Officer</w:t>
      </w:r>
    </w:p>
    <w:sectPr w:rsidR="00B81E4E" w:rsidRPr="00305E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EE3B6" w14:textId="77777777" w:rsidR="00EF5752" w:rsidRDefault="00EF5752">
      <w:pPr>
        <w:spacing w:after="0" w:line="240" w:lineRule="auto"/>
      </w:pPr>
      <w:r>
        <w:separator/>
      </w:r>
    </w:p>
  </w:endnote>
  <w:endnote w:type="continuationSeparator" w:id="0">
    <w:p w14:paraId="479AAE74" w14:textId="77777777" w:rsidR="00EF5752" w:rsidRDefault="00EF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F821A6" w:rsidRDefault="00F821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F821A6" w:rsidRDefault="00F821A6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79088509" w:rsidR="00F821A6" w:rsidRPr="00432F91" w:rsidRDefault="00F821A6" w:rsidP="004E6F8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5" w:name="_1t3h5sf" w:colFirst="0" w:colLast="0"/>
    <w:bookmarkEnd w:id="5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C23522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C23522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5A345D">
      <w:rPr>
        <w:rFonts w:ascii="Arial" w:eastAsia="Arial" w:hAnsi="Arial" w:cs="Arial"/>
        <w:sz w:val="14"/>
        <w:szCs w:val="14"/>
      </w:rPr>
      <w:t>DSWD DROMIC Report #2</w:t>
    </w:r>
    <w:r>
      <w:rPr>
        <w:rFonts w:ascii="Arial" w:eastAsia="Arial" w:hAnsi="Arial" w:cs="Arial"/>
        <w:sz w:val="14"/>
        <w:szCs w:val="14"/>
      </w:rPr>
      <w:t xml:space="preserve"> </w:t>
    </w:r>
    <w:r w:rsidRPr="004E6F82">
      <w:rPr>
        <w:rFonts w:ascii="Arial" w:eastAsia="Arial" w:hAnsi="Arial" w:cs="Arial"/>
        <w:sz w:val="14"/>
        <w:szCs w:val="14"/>
      </w:rPr>
      <w:t>on the Earthquake Incide</w:t>
    </w:r>
    <w:r w:rsidR="005A345D">
      <w:rPr>
        <w:rFonts w:ascii="Arial" w:eastAsia="Arial" w:hAnsi="Arial" w:cs="Arial"/>
        <w:sz w:val="14"/>
        <w:szCs w:val="14"/>
      </w:rPr>
      <w:t xml:space="preserve">nt in </w:t>
    </w:r>
    <w:proofErr w:type="spellStart"/>
    <w:r w:rsidR="005A345D">
      <w:rPr>
        <w:rFonts w:ascii="Arial" w:eastAsia="Arial" w:hAnsi="Arial" w:cs="Arial"/>
        <w:sz w:val="14"/>
        <w:szCs w:val="14"/>
      </w:rPr>
      <w:t>Itbayat</w:t>
    </w:r>
    <w:proofErr w:type="spellEnd"/>
    <w:r w:rsidR="005A345D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5A345D">
      <w:rPr>
        <w:rFonts w:ascii="Arial" w:eastAsia="Arial" w:hAnsi="Arial" w:cs="Arial"/>
        <w:sz w:val="14"/>
        <w:szCs w:val="14"/>
      </w:rPr>
      <w:t>Batanes</w:t>
    </w:r>
    <w:proofErr w:type="spellEnd"/>
    <w:r w:rsidR="005A345D">
      <w:rPr>
        <w:rFonts w:ascii="Arial" w:eastAsia="Arial" w:hAnsi="Arial" w:cs="Arial"/>
        <w:sz w:val="14"/>
        <w:szCs w:val="14"/>
      </w:rPr>
      <w:t xml:space="preserve"> as of 28</w:t>
    </w:r>
    <w:r w:rsidRPr="004E6F82"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July</w:t>
    </w:r>
    <w:r w:rsidRPr="004E6F82">
      <w:rPr>
        <w:rFonts w:ascii="Arial" w:eastAsia="Arial" w:hAnsi="Arial" w:cs="Arial"/>
        <w:sz w:val="14"/>
        <w:szCs w:val="14"/>
      </w:rPr>
      <w:t xml:space="preserve"> 2019, </w:t>
    </w:r>
    <w:r w:rsidR="003051AC">
      <w:rPr>
        <w:rFonts w:ascii="Arial" w:eastAsia="Arial" w:hAnsi="Arial" w:cs="Arial"/>
        <w:sz w:val="14"/>
        <w:szCs w:val="14"/>
      </w:rPr>
      <w:t>4</w:t>
    </w:r>
    <w:r w:rsidR="005A345D">
      <w:rPr>
        <w:rFonts w:ascii="Arial" w:eastAsia="Arial" w:hAnsi="Arial" w:cs="Arial"/>
        <w:sz w:val="14"/>
        <w:szCs w:val="14"/>
      </w:rPr>
      <w:t>A</w:t>
    </w:r>
    <w:r w:rsidR="005C6857">
      <w:rPr>
        <w:rFonts w:ascii="Arial" w:eastAsia="Arial" w:hAnsi="Arial" w:cs="Arial"/>
        <w:sz w:val="14"/>
        <w:szCs w:val="14"/>
      </w:rPr>
      <w:t>M</w:t>
    </w:r>
  </w:p>
  <w:p w14:paraId="0645D380" w14:textId="23C83138" w:rsidR="00F821A6" w:rsidRDefault="00F821A6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F821A6" w:rsidRDefault="00F821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A12E7" w14:textId="77777777" w:rsidR="00EF5752" w:rsidRDefault="00EF5752">
      <w:pPr>
        <w:spacing w:after="0" w:line="240" w:lineRule="auto"/>
      </w:pPr>
      <w:r>
        <w:separator/>
      </w:r>
    </w:p>
  </w:footnote>
  <w:footnote w:type="continuationSeparator" w:id="0">
    <w:p w14:paraId="60FF4A67" w14:textId="77777777" w:rsidR="00EF5752" w:rsidRDefault="00EF5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F821A6" w:rsidRDefault="00F821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F821A6" w:rsidRDefault="00F821A6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F821A6" w:rsidRDefault="00F821A6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F821A6" w:rsidRDefault="00F821A6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F821A6" w:rsidRPr="00AC4062" w:rsidRDefault="00F821A6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F821A6" w:rsidRDefault="00F821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A7AFC"/>
    <w:multiLevelType w:val="hybridMultilevel"/>
    <w:tmpl w:val="7EE8F436"/>
    <w:lvl w:ilvl="0" w:tplc="444EFA7C">
      <w:start w:val="1"/>
      <w:numFmt w:val="upperRoman"/>
      <w:lvlText w:val="%1.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1204F"/>
    <w:multiLevelType w:val="multilevel"/>
    <w:tmpl w:val="44BE988C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22EA17F0"/>
    <w:multiLevelType w:val="multilevel"/>
    <w:tmpl w:val="09ECF8A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5" w15:restartNumberingAfterBreak="0">
    <w:nsid w:val="271A5C53"/>
    <w:multiLevelType w:val="multilevel"/>
    <w:tmpl w:val="6590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7237112"/>
    <w:multiLevelType w:val="multilevel"/>
    <w:tmpl w:val="2962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A754AB7"/>
    <w:multiLevelType w:val="multilevel"/>
    <w:tmpl w:val="C8A4E904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13" w15:restartNumberingAfterBreak="0">
    <w:nsid w:val="3CBC47E7"/>
    <w:multiLevelType w:val="multilevel"/>
    <w:tmpl w:val="776CD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3B707C2"/>
    <w:multiLevelType w:val="hybridMultilevel"/>
    <w:tmpl w:val="7BEED97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19" w15:restartNumberingAfterBreak="0">
    <w:nsid w:val="4C807E81"/>
    <w:multiLevelType w:val="hybridMultilevel"/>
    <w:tmpl w:val="910ABA1E"/>
    <w:lvl w:ilvl="0" w:tplc="0480FB2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775DB"/>
    <w:multiLevelType w:val="hybridMultilevel"/>
    <w:tmpl w:val="E1204598"/>
    <w:lvl w:ilvl="0" w:tplc="5B1229DE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1" w15:restartNumberingAfterBreak="0">
    <w:nsid w:val="4FB17BBA"/>
    <w:multiLevelType w:val="hybridMultilevel"/>
    <w:tmpl w:val="C0B6B84C"/>
    <w:lvl w:ilvl="0" w:tplc="3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22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57758"/>
    <w:multiLevelType w:val="hybridMultilevel"/>
    <w:tmpl w:val="C1EE6AC6"/>
    <w:lvl w:ilvl="0" w:tplc="AB461A9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35EED"/>
    <w:multiLevelType w:val="hybridMultilevel"/>
    <w:tmpl w:val="44A8750E"/>
    <w:lvl w:ilvl="0" w:tplc="A6BCE92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AFB3118"/>
    <w:multiLevelType w:val="hybridMultilevel"/>
    <w:tmpl w:val="9F44A31E"/>
    <w:lvl w:ilvl="0" w:tplc="F71A6B8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6"/>
  </w:num>
  <w:num w:numId="4">
    <w:abstractNumId w:val="16"/>
  </w:num>
  <w:num w:numId="5">
    <w:abstractNumId w:val="17"/>
  </w:num>
  <w:num w:numId="6">
    <w:abstractNumId w:val="25"/>
  </w:num>
  <w:num w:numId="7">
    <w:abstractNumId w:val="14"/>
  </w:num>
  <w:num w:numId="8">
    <w:abstractNumId w:val="30"/>
  </w:num>
  <w:num w:numId="9">
    <w:abstractNumId w:val="11"/>
  </w:num>
  <w:num w:numId="10">
    <w:abstractNumId w:val="23"/>
  </w:num>
  <w:num w:numId="11">
    <w:abstractNumId w:val="7"/>
  </w:num>
  <w:num w:numId="12">
    <w:abstractNumId w:val="26"/>
  </w:num>
  <w:num w:numId="13">
    <w:abstractNumId w:val="22"/>
  </w:num>
  <w:num w:numId="14">
    <w:abstractNumId w:val="18"/>
  </w:num>
  <w:num w:numId="15">
    <w:abstractNumId w:val="33"/>
  </w:num>
  <w:num w:numId="16">
    <w:abstractNumId w:val="9"/>
  </w:num>
  <w:num w:numId="17">
    <w:abstractNumId w:val="34"/>
  </w:num>
  <w:num w:numId="18">
    <w:abstractNumId w:val="2"/>
    <w:lvlOverride w:ilvl="0">
      <w:lvl w:ilvl="0">
        <w:numFmt w:val="lowerLetter"/>
        <w:lvlText w:val="%1."/>
        <w:lvlJc w:val="left"/>
      </w:lvl>
    </w:lvlOverride>
  </w:num>
  <w:num w:numId="19">
    <w:abstractNumId w:val="27"/>
  </w:num>
  <w:num w:numId="20">
    <w:abstractNumId w:val="0"/>
    <w:lvlOverride w:ilvl="0">
      <w:lvl w:ilvl="0">
        <w:numFmt w:val="upperRoman"/>
        <w:lvlText w:val="%1."/>
        <w:lvlJc w:val="right"/>
      </w:lvl>
    </w:lvlOverride>
  </w:num>
  <w:num w:numId="21">
    <w:abstractNumId w:val="4"/>
  </w:num>
  <w:num w:numId="22">
    <w:abstractNumId w:val="3"/>
  </w:num>
  <w:num w:numId="23">
    <w:abstractNumId w:val="13"/>
    <w:lvlOverride w:ilvl="0">
      <w:lvl w:ilvl="0">
        <w:numFmt w:val="upperRoman"/>
        <w:lvlText w:val="%1."/>
        <w:lvlJc w:val="right"/>
      </w:lvl>
    </w:lvlOverride>
  </w:num>
  <w:num w:numId="24">
    <w:abstractNumId w:val="1"/>
  </w:num>
  <w:num w:numId="25">
    <w:abstractNumId w:val="8"/>
    <w:lvlOverride w:ilvl="0">
      <w:lvl w:ilvl="0">
        <w:numFmt w:val="upperRoman"/>
        <w:lvlText w:val="%1."/>
        <w:lvlJc w:val="right"/>
      </w:lvl>
    </w:lvlOverride>
  </w:num>
  <w:num w:numId="26">
    <w:abstractNumId w:val="5"/>
    <w:lvlOverride w:ilvl="0">
      <w:lvl w:ilvl="0">
        <w:numFmt w:val="lowerLetter"/>
        <w:lvlText w:val="%1."/>
        <w:lvlJc w:val="left"/>
      </w:lvl>
    </w:lvlOverride>
  </w:num>
  <w:num w:numId="27">
    <w:abstractNumId w:val="29"/>
  </w:num>
  <w:num w:numId="28">
    <w:abstractNumId w:val="21"/>
  </w:num>
  <w:num w:numId="29">
    <w:abstractNumId w:val="20"/>
  </w:num>
  <w:num w:numId="30">
    <w:abstractNumId w:val="15"/>
  </w:num>
  <w:num w:numId="31">
    <w:abstractNumId w:val="12"/>
  </w:num>
  <w:num w:numId="32">
    <w:abstractNumId w:val="32"/>
  </w:num>
  <w:num w:numId="33">
    <w:abstractNumId w:val="19"/>
  </w:num>
  <w:num w:numId="34">
    <w:abstractNumId w:val="28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6D6A"/>
    <w:rsid w:val="000101D0"/>
    <w:rsid w:val="00012167"/>
    <w:rsid w:val="00013B68"/>
    <w:rsid w:val="0001600F"/>
    <w:rsid w:val="00021C4E"/>
    <w:rsid w:val="00042FEB"/>
    <w:rsid w:val="00046FA7"/>
    <w:rsid w:val="00057C6C"/>
    <w:rsid w:val="00081BF1"/>
    <w:rsid w:val="00082522"/>
    <w:rsid w:val="00083789"/>
    <w:rsid w:val="00086783"/>
    <w:rsid w:val="00090717"/>
    <w:rsid w:val="00096310"/>
    <w:rsid w:val="000A1B57"/>
    <w:rsid w:val="000D062E"/>
    <w:rsid w:val="000D181F"/>
    <w:rsid w:val="000D7B1F"/>
    <w:rsid w:val="000E1001"/>
    <w:rsid w:val="000E38E9"/>
    <w:rsid w:val="000F4719"/>
    <w:rsid w:val="001036F2"/>
    <w:rsid w:val="00103995"/>
    <w:rsid w:val="0011225C"/>
    <w:rsid w:val="001149A2"/>
    <w:rsid w:val="00132701"/>
    <w:rsid w:val="00135103"/>
    <w:rsid w:val="00150265"/>
    <w:rsid w:val="00155842"/>
    <w:rsid w:val="001847A6"/>
    <w:rsid w:val="00186433"/>
    <w:rsid w:val="00190343"/>
    <w:rsid w:val="00191CE5"/>
    <w:rsid w:val="001A1BF0"/>
    <w:rsid w:val="001A527B"/>
    <w:rsid w:val="001A5B90"/>
    <w:rsid w:val="001B2088"/>
    <w:rsid w:val="001B4682"/>
    <w:rsid w:val="001B6619"/>
    <w:rsid w:val="001B6DDB"/>
    <w:rsid w:val="001B76F6"/>
    <w:rsid w:val="001D7344"/>
    <w:rsid w:val="001E5944"/>
    <w:rsid w:val="001E6EAF"/>
    <w:rsid w:val="001F0486"/>
    <w:rsid w:val="00200632"/>
    <w:rsid w:val="00204FE4"/>
    <w:rsid w:val="00222413"/>
    <w:rsid w:val="00250D5A"/>
    <w:rsid w:val="00276F61"/>
    <w:rsid w:val="00282674"/>
    <w:rsid w:val="002851FF"/>
    <w:rsid w:val="00293CD5"/>
    <w:rsid w:val="00295B97"/>
    <w:rsid w:val="002B44BD"/>
    <w:rsid w:val="002B79B5"/>
    <w:rsid w:val="002C7968"/>
    <w:rsid w:val="002D320D"/>
    <w:rsid w:val="002D6344"/>
    <w:rsid w:val="002D7DFE"/>
    <w:rsid w:val="002F5643"/>
    <w:rsid w:val="002F57CF"/>
    <w:rsid w:val="00301B78"/>
    <w:rsid w:val="003051AC"/>
    <w:rsid w:val="00305E00"/>
    <w:rsid w:val="003169F2"/>
    <w:rsid w:val="0031795A"/>
    <w:rsid w:val="00327DC0"/>
    <w:rsid w:val="00332D0A"/>
    <w:rsid w:val="0035250A"/>
    <w:rsid w:val="0035686E"/>
    <w:rsid w:val="00360385"/>
    <w:rsid w:val="003615E5"/>
    <w:rsid w:val="0036787F"/>
    <w:rsid w:val="00371C7A"/>
    <w:rsid w:val="0039157E"/>
    <w:rsid w:val="00393D07"/>
    <w:rsid w:val="003A7CD6"/>
    <w:rsid w:val="003B0C7F"/>
    <w:rsid w:val="003C12B1"/>
    <w:rsid w:val="003C3015"/>
    <w:rsid w:val="003C34D2"/>
    <w:rsid w:val="003C361E"/>
    <w:rsid w:val="003D0EFA"/>
    <w:rsid w:val="003D250D"/>
    <w:rsid w:val="003E77EE"/>
    <w:rsid w:val="003F0F20"/>
    <w:rsid w:val="0040289A"/>
    <w:rsid w:val="00412747"/>
    <w:rsid w:val="00415BD0"/>
    <w:rsid w:val="00416CD0"/>
    <w:rsid w:val="00422596"/>
    <w:rsid w:val="00422948"/>
    <w:rsid w:val="0042754A"/>
    <w:rsid w:val="00432F91"/>
    <w:rsid w:val="004347A5"/>
    <w:rsid w:val="00435C32"/>
    <w:rsid w:val="004421A5"/>
    <w:rsid w:val="00447724"/>
    <w:rsid w:val="004664E2"/>
    <w:rsid w:val="00474826"/>
    <w:rsid w:val="00475847"/>
    <w:rsid w:val="0048062F"/>
    <w:rsid w:val="00481C91"/>
    <w:rsid w:val="004A129A"/>
    <w:rsid w:val="004A3CF6"/>
    <w:rsid w:val="004A4E86"/>
    <w:rsid w:val="004B1313"/>
    <w:rsid w:val="004B6643"/>
    <w:rsid w:val="004C1DB3"/>
    <w:rsid w:val="004C201F"/>
    <w:rsid w:val="004C3428"/>
    <w:rsid w:val="004C4558"/>
    <w:rsid w:val="004C5FC5"/>
    <w:rsid w:val="004D1CE1"/>
    <w:rsid w:val="004D6D5C"/>
    <w:rsid w:val="004E1525"/>
    <w:rsid w:val="004E58E2"/>
    <w:rsid w:val="004E6F82"/>
    <w:rsid w:val="004F224A"/>
    <w:rsid w:val="004F3CA8"/>
    <w:rsid w:val="004F5AF2"/>
    <w:rsid w:val="00504D61"/>
    <w:rsid w:val="00512579"/>
    <w:rsid w:val="00557966"/>
    <w:rsid w:val="00566326"/>
    <w:rsid w:val="005752B6"/>
    <w:rsid w:val="0058313A"/>
    <w:rsid w:val="005838F4"/>
    <w:rsid w:val="00590B6B"/>
    <w:rsid w:val="005A345D"/>
    <w:rsid w:val="005B7B3E"/>
    <w:rsid w:val="005C1D11"/>
    <w:rsid w:val="005C3879"/>
    <w:rsid w:val="005C6857"/>
    <w:rsid w:val="005D5F39"/>
    <w:rsid w:val="005F6241"/>
    <w:rsid w:val="0060497B"/>
    <w:rsid w:val="00605D37"/>
    <w:rsid w:val="00614BDB"/>
    <w:rsid w:val="0061793C"/>
    <w:rsid w:val="006332E2"/>
    <w:rsid w:val="00651F59"/>
    <w:rsid w:val="00662BAE"/>
    <w:rsid w:val="00672917"/>
    <w:rsid w:val="0069788A"/>
    <w:rsid w:val="006A55D2"/>
    <w:rsid w:val="006A6903"/>
    <w:rsid w:val="006B4169"/>
    <w:rsid w:val="006B7F71"/>
    <w:rsid w:val="006C3402"/>
    <w:rsid w:val="006C7E5F"/>
    <w:rsid w:val="006F0656"/>
    <w:rsid w:val="006F7673"/>
    <w:rsid w:val="006F7DFC"/>
    <w:rsid w:val="00702671"/>
    <w:rsid w:val="00713716"/>
    <w:rsid w:val="00714674"/>
    <w:rsid w:val="00721CF9"/>
    <w:rsid w:val="00722F9F"/>
    <w:rsid w:val="007313BB"/>
    <w:rsid w:val="0073140C"/>
    <w:rsid w:val="00733AE3"/>
    <w:rsid w:val="00734C56"/>
    <w:rsid w:val="0073758B"/>
    <w:rsid w:val="007534D1"/>
    <w:rsid w:val="00753BBE"/>
    <w:rsid w:val="007550BB"/>
    <w:rsid w:val="00776A1F"/>
    <w:rsid w:val="00780917"/>
    <w:rsid w:val="00794161"/>
    <w:rsid w:val="00797FD6"/>
    <w:rsid w:val="007B50B5"/>
    <w:rsid w:val="007C7545"/>
    <w:rsid w:val="007D6598"/>
    <w:rsid w:val="007D6982"/>
    <w:rsid w:val="007E75A9"/>
    <w:rsid w:val="00806045"/>
    <w:rsid w:val="0081334A"/>
    <w:rsid w:val="00814340"/>
    <w:rsid w:val="00815A89"/>
    <w:rsid w:val="0082655B"/>
    <w:rsid w:val="008345A5"/>
    <w:rsid w:val="0084093B"/>
    <w:rsid w:val="00847928"/>
    <w:rsid w:val="00847E56"/>
    <w:rsid w:val="008524BB"/>
    <w:rsid w:val="00871F0E"/>
    <w:rsid w:val="00887A41"/>
    <w:rsid w:val="008A0185"/>
    <w:rsid w:val="008B1217"/>
    <w:rsid w:val="008C69B2"/>
    <w:rsid w:val="008C6D94"/>
    <w:rsid w:val="008E1102"/>
    <w:rsid w:val="008E4068"/>
    <w:rsid w:val="008E4435"/>
    <w:rsid w:val="008E6D8F"/>
    <w:rsid w:val="008F1FFB"/>
    <w:rsid w:val="00901E90"/>
    <w:rsid w:val="00911055"/>
    <w:rsid w:val="009112F7"/>
    <w:rsid w:val="0091510D"/>
    <w:rsid w:val="00915915"/>
    <w:rsid w:val="009211FE"/>
    <w:rsid w:val="00927484"/>
    <w:rsid w:val="009279A3"/>
    <w:rsid w:val="00931158"/>
    <w:rsid w:val="00931D18"/>
    <w:rsid w:val="00932FE6"/>
    <w:rsid w:val="0094177B"/>
    <w:rsid w:val="0094428C"/>
    <w:rsid w:val="00965142"/>
    <w:rsid w:val="00970CF8"/>
    <w:rsid w:val="00975BF1"/>
    <w:rsid w:val="009804E3"/>
    <w:rsid w:val="009808ED"/>
    <w:rsid w:val="00982647"/>
    <w:rsid w:val="00985089"/>
    <w:rsid w:val="00993737"/>
    <w:rsid w:val="00997925"/>
    <w:rsid w:val="009A5915"/>
    <w:rsid w:val="009A62E2"/>
    <w:rsid w:val="009A7847"/>
    <w:rsid w:val="009B5C96"/>
    <w:rsid w:val="009C3611"/>
    <w:rsid w:val="009C4372"/>
    <w:rsid w:val="009D7FD6"/>
    <w:rsid w:val="009E122F"/>
    <w:rsid w:val="009E1BD1"/>
    <w:rsid w:val="009E4921"/>
    <w:rsid w:val="009E6B0D"/>
    <w:rsid w:val="009F0290"/>
    <w:rsid w:val="009F12C3"/>
    <w:rsid w:val="009F6591"/>
    <w:rsid w:val="00A055F1"/>
    <w:rsid w:val="00A06DE1"/>
    <w:rsid w:val="00A11005"/>
    <w:rsid w:val="00A1706A"/>
    <w:rsid w:val="00A265AF"/>
    <w:rsid w:val="00A5377A"/>
    <w:rsid w:val="00A60B98"/>
    <w:rsid w:val="00A61C95"/>
    <w:rsid w:val="00A63054"/>
    <w:rsid w:val="00A7234A"/>
    <w:rsid w:val="00A76276"/>
    <w:rsid w:val="00A80B6A"/>
    <w:rsid w:val="00A820CC"/>
    <w:rsid w:val="00A8218F"/>
    <w:rsid w:val="00A82AD1"/>
    <w:rsid w:val="00A87502"/>
    <w:rsid w:val="00A90A4C"/>
    <w:rsid w:val="00A9177A"/>
    <w:rsid w:val="00A919D1"/>
    <w:rsid w:val="00A9551D"/>
    <w:rsid w:val="00A96E8B"/>
    <w:rsid w:val="00AA0D7C"/>
    <w:rsid w:val="00AA5B99"/>
    <w:rsid w:val="00AB6C4B"/>
    <w:rsid w:val="00AB701D"/>
    <w:rsid w:val="00AC4062"/>
    <w:rsid w:val="00AC5192"/>
    <w:rsid w:val="00AD7008"/>
    <w:rsid w:val="00AE3539"/>
    <w:rsid w:val="00AE4CF6"/>
    <w:rsid w:val="00B15E33"/>
    <w:rsid w:val="00B16872"/>
    <w:rsid w:val="00B17722"/>
    <w:rsid w:val="00B225BA"/>
    <w:rsid w:val="00B31859"/>
    <w:rsid w:val="00B40F59"/>
    <w:rsid w:val="00B43C0E"/>
    <w:rsid w:val="00B56338"/>
    <w:rsid w:val="00B56D90"/>
    <w:rsid w:val="00B62851"/>
    <w:rsid w:val="00B63D3C"/>
    <w:rsid w:val="00B748F7"/>
    <w:rsid w:val="00B75DA9"/>
    <w:rsid w:val="00B81E4E"/>
    <w:rsid w:val="00B84935"/>
    <w:rsid w:val="00B865A2"/>
    <w:rsid w:val="00B86763"/>
    <w:rsid w:val="00BB2F4A"/>
    <w:rsid w:val="00BC2AFC"/>
    <w:rsid w:val="00BC2B49"/>
    <w:rsid w:val="00BC57D7"/>
    <w:rsid w:val="00BC7E2F"/>
    <w:rsid w:val="00BF3197"/>
    <w:rsid w:val="00C009E9"/>
    <w:rsid w:val="00C018FB"/>
    <w:rsid w:val="00C039EE"/>
    <w:rsid w:val="00C07FCA"/>
    <w:rsid w:val="00C16E9F"/>
    <w:rsid w:val="00C2287F"/>
    <w:rsid w:val="00C23522"/>
    <w:rsid w:val="00C23935"/>
    <w:rsid w:val="00C23A35"/>
    <w:rsid w:val="00C27F09"/>
    <w:rsid w:val="00C43A1A"/>
    <w:rsid w:val="00C46A8D"/>
    <w:rsid w:val="00C47C54"/>
    <w:rsid w:val="00C527D5"/>
    <w:rsid w:val="00C561A7"/>
    <w:rsid w:val="00C61BA3"/>
    <w:rsid w:val="00C6501E"/>
    <w:rsid w:val="00C71876"/>
    <w:rsid w:val="00C71B5A"/>
    <w:rsid w:val="00C7746C"/>
    <w:rsid w:val="00C85CDD"/>
    <w:rsid w:val="00C9090C"/>
    <w:rsid w:val="00C94159"/>
    <w:rsid w:val="00CA2D0F"/>
    <w:rsid w:val="00CB2990"/>
    <w:rsid w:val="00CB57AA"/>
    <w:rsid w:val="00CC4362"/>
    <w:rsid w:val="00CC621C"/>
    <w:rsid w:val="00CC6B2B"/>
    <w:rsid w:val="00CC7587"/>
    <w:rsid w:val="00CC7927"/>
    <w:rsid w:val="00CD395F"/>
    <w:rsid w:val="00CE215F"/>
    <w:rsid w:val="00CF07E8"/>
    <w:rsid w:val="00CF10D1"/>
    <w:rsid w:val="00D0357D"/>
    <w:rsid w:val="00D05A14"/>
    <w:rsid w:val="00D10EA4"/>
    <w:rsid w:val="00D14814"/>
    <w:rsid w:val="00D15C88"/>
    <w:rsid w:val="00D327D7"/>
    <w:rsid w:val="00D33BE4"/>
    <w:rsid w:val="00D41926"/>
    <w:rsid w:val="00D45F1F"/>
    <w:rsid w:val="00D461A2"/>
    <w:rsid w:val="00D57D0D"/>
    <w:rsid w:val="00D61622"/>
    <w:rsid w:val="00D63CC6"/>
    <w:rsid w:val="00D72083"/>
    <w:rsid w:val="00D723E0"/>
    <w:rsid w:val="00D85B45"/>
    <w:rsid w:val="00D94D33"/>
    <w:rsid w:val="00DA4BBC"/>
    <w:rsid w:val="00DB0323"/>
    <w:rsid w:val="00DB3648"/>
    <w:rsid w:val="00DB4B44"/>
    <w:rsid w:val="00DC2272"/>
    <w:rsid w:val="00DC4256"/>
    <w:rsid w:val="00DC458A"/>
    <w:rsid w:val="00DC7C16"/>
    <w:rsid w:val="00DD070D"/>
    <w:rsid w:val="00DD3DDF"/>
    <w:rsid w:val="00DE2C90"/>
    <w:rsid w:val="00DE772C"/>
    <w:rsid w:val="00DF724A"/>
    <w:rsid w:val="00DF728B"/>
    <w:rsid w:val="00E04FDD"/>
    <w:rsid w:val="00E058B4"/>
    <w:rsid w:val="00E06986"/>
    <w:rsid w:val="00E126CF"/>
    <w:rsid w:val="00E1326F"/>
    <w:rsid w:val="00E15317"/>
    <w:rsid w:val="00E17558"/>
    <w:rsid w:val="00E236E0"/>
    <w:rsid w:val="00E31DD3"/>
    <w:rsid w:val="00E32112"/>
    <w:rsid w:val="00E3253B"/>
    <w:rsid w:val="00E32DA2"/>
    <w:rsid w:val="00E36F07"/>
    <w:rsid w:val="00E418EA"/>
    <w:rsid w:val="00E476B6"/>
    <w:rsid w:val="00E56915"/>
    <w:rsid w:val="00E56999"/>
    <w:rsid w:val="00E61798"/>
    <w:rsid w:val="00E755D3"/>
    <w:rsid w:val="00E8312E"/>
    <w:rsid w:val="00E96F9D"/>
    <w:rsid w:val="00E97EC4"/>
    <w:rsid w:val="00EB5BF2"/>
    <w:rsid w:val="00EC1834"/>
    <w:rsid w:val="00EC24DD"/>
    <w:rsid w:val="00ED12B4"/>
    <w:rsid w:val="00ED336C"/>
    <w:rsid w:val="00EE4D06"/>
    <w:rsid w:val="00EE646E"/>
    <w:rsid w:val="00EF0E3A"/>
    <w:rsid w:val="00EF2BE1"/>
    <w:rsid w:val="00EF34B8"/>
    <w:rsid w:val="00EF477F"/>
    <w:rsid w:val="00EF5752"/>
    <w:rsid w:val="00F01280"/>
    <w:rsid w:val="00F21A16"/>
    <w:rsid w:val="00F34BEF"/>
    <w:rsid w:val="00F53205"/>
    <w:rsid w:val="00F61F3C"/>
    <w:rsid w:val="00F63AF5"/>
    <w:rsid w:val="00F75D3D"/>
    <w:rsid w:val="00F779E2"/>
    <w:rsid w:val="00F821A6"/>
    <w:rsid w:val="00F86174"/>
    <w:rsid w:val="00F9024E"/>
    <w:rsid w:val="00F91BCF"/>
    <w:rsid w:val="00F97F18"/>
    <w:rsid w:val="00FA38BA"/>
    <w:rsid w:val="00FA665B"/>
    <w:rsid w:val="00FC3E81"/>
    <w:rsid w:val="00FC545B"/>
    <w:rsid w:val="00FC5D7E"/>
    <w:rsid w:val="00FC7CDE"/>
    <w:rsid w:val="00FD096E"/>
    <w:rsid w:val="00FD5C9D"/>
    <w:rsid w:val="00FE0E6C"/>
    <w:rsid w:val="00FE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2AAE77D2-7AF1-420A-9B44-CFE2358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  <w:style w:type="paragraph" w:customStyle="1" w:styleId="m3159296912243353899gmail-msonormal">
    <w:name w:val="m_3159296912243353899gmail-msonormal"/>
    <w:basedOn w:val="Normal"/>
    <w:rsid w:val="0048062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159296912243353899gmail-msolistparagraph">
    <w:name w:val="m_3159296912243353899gmail-msolistparagraph"/>
    <w:basedOn w:val="Normal"/>
    <w:rsid w:val="0048062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3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1.pagasa.dost.gov.ph/index.php/tropical-cyclones/weather-bulletin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5119B-9849-4D4D-A0C2-599B2C69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15</cp:revision>
  <cp:lastPrinted>2019-04-24T18:30:00Z</cp:lastPrinted>
  <dcterms:created xsi:type="dcterms:W3CDTF">2019-07-27T14:52:00Z</dcterms:created>
  <dcterms:modified xsi:type="dcterms:W3CDTF">2019-07-27T18:23:00Z</dcterms:modified>
</cp:coreProperties>
</file>