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944EAE" w14:textId="2FA9F8F0" w:rsidR="003D72F6" w:rsidRDefault="003901DC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22AA7D44" w:rsidR="00000CC0" w:rsidRPr="005A135C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>Lapu</w:t>
      </w:r>
      <w:r w:rsidR="008C43F4">
        <w:rPr>
          <w:rFonts w:ascii="Arial" w:eastAsia="Arial" w:hAnsi="Arial" w:cs="Arial"/>
          <w:b/>
          <w:sz w:val="32"/>
          <w:szCs w:val="24"/>
        </w:rPr>
        <w:t>yan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8C43F4">
        <w:rPr>
          <w:rFonts w:ascii="Arial" w:eastAsia="Arial" w:hAnsi="Arial" w:cs="Arial"/>
          <w:b/>
          <w:sz w:val="32"/>
          <w:szCs w:val="24"/>
        </w:rPr>
        <w:t>, Zamboanga del Sur</w:t>
      </w:r>
    </w:p>
    <w:p w14:paraId="106EECC5" w14:textId="2D25E8CA" w:rsidR="00F27639" w:rsidRDefault="003901DC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04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B5712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C8AE030" w14:textId="7E5CB30D" w:rsidR="008C43F4" w:rsidRPr="00AF09E6" w:rsidRDefault="00AF09E6" w:rsidP="008C43F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8C43F4" w:rsidRPr="00AF09E6">
        <w:rPr>
          <w:rFonts w:ascii="Arial" w:eastAsia="Arial" w:hAnsi="Arial" w:cs="Arial"/>
          <w:i/>
          <w:sz w:val="24"/>
          <w:szCs w:val="24"/>
        </w:rPr>
        <w:t xml:space="preserve">flashflood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8C43F4" w:rsidRPr="00AF09E6">
        <w:rPr>
          <w:rFonts w:ascii="Arial" w:eastAsia="Arial" w:hAnsi="Arial" w:cs="Arial"/>
          <w:i/>
          <w:sz w:val="24"/>
          <w:szCs w:val="24"/>
        </w:rPr>
        <w:t xml:space="preserve">occurred in </w:t>
      </w:r>
      <w:r w:rsidRPr="00AF09E6">
        <w:rPr>
          <w:rFonts w:ascii="Arial" w:eastAsia="Arial" w:hAnsi="Arial" w:cs="Arial"/>
          <w:i/>
          <w:sz w:val="24"/>
          <w:szCs w:val="24"/>
        </w:rPr>
        <w:t xml:space="preserve">Brgy. Muruing, Lapuyan, </w:t>
      </w:r>
      <w:r w:rsidR="008C43F4" w:rsidRPr="00AF09E6">
        <w:rPr>
          <w:rFonts w:ascii="Arial" w:eastAsia="Arial" w:hAnsi="Arial" w:cs="Arial"/>
          <w:i/>
          <w:sz w:val="24"/>
          <w:szCs w:val="24"/>
        </w:rPr>
        <w:t xml:space="preserve">Zamboanga del Sur </w:t>
      </w:r>
      <w:r>
        <w:rPr>
          <w:rFonts w:ascii="Arial" w:eastAsia="Arial" w:hAnsi="Arial" w:cs="Arial"/>
          <w:i/>
          <w:sz w:val="24"/>
          <w:szCs w:val="24"/>
        </w:rPr>
        <w:t xml:space="preserve">on 29 July 2019 </w:t>
      </w:r>
      <w:r w:rsidR="008C43F4" w:rsidRPr="00AF09E6">
        <w:rPr>
          <w:rFonts w:ascii="Arial" w:eastAsia="Arial" w:hAnsi="Arial" w:cs="Arial"/>
          <w:i/>
          <w:sz w:val="24"/>
          <w:szCs w:val="24"/>
        </w:rPr>
        <w:t>due to continuous heavy rains caused by localized thunderstorm</w:t>
      </w:r>
      <w:r w:rsidRPr="00AF09E6">
        <w:rPr>
          <w:rFonts w:ascii="Arial" w:eastAsia="Arial" w:hAnsi="Arial" w:cs="Arial"/>
          <w:i/>
          <w:sz w:val="24"/>
          <w:szCs w:val="24"/>
        </w:rPr>
        <w:t>s which resulted to the displacement of families and individuals in the area.</w:t>
      </w:r>
    </w:p>
    <w:p w14:paraId="0CA73906" w14:textId="77777777" w:rsidR="00AF09E6" w:rsidRPr="008C43F4" w:rsidRDefault="00AF09E6" w:rsidP="008C43F4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3309C2" w14:textId="3BB5754A" w:rsidR="00AF09E6" w:rsidRPr="007E5AE1" w:rsidRDefault="008C43F4" w:rsidP="007E5AE1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  <w:bookmarkStart w:id="0" w:name="_GoBack"/>
      <w:bookmarkEnd w:id="0"/>
    </w:p>
    <w:p w14:paraId="3EDDA8F9" w14:textId="5A442DD9" w:rsidR="00AF09E6" w:rsidRPr="00AF09E6" w:rsidRDefault="00AF09E6" w:rsidP="00AF09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CB20B46" w14:textId="77777777" w:rsidR="001C1FE7" w:rsidRDefault="001C1FE7" w:rsidP="001C1F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E2931F9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CB72CF">
        <w:rPr>
          <w:rFonts w:ascii="Arial" w:eastAsia="Arial" w:hAnsi="Arial" w:cs="Arial"/>
          <w:b/>
          <w:color w:val="0070C0"/>
          <w:sz w:val="24"/>
          <w:szCs w:val="24"/>
        </w:rPr>
        <w:t>117</w:t>
      </w:r>
      <w:r w:rsidR="00052137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8089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9721F1">
        <w:rPr>
          <w:rFonts w:ascii="Arial" w:eastAsia="Arial" w:hAnsi="Arial" w:cs="Arial"/>
          <w:sz w:val="24"/>
          <w:szCs w:val="24"/>
        </w:rPr>
        <w:t xml:space="preserve">or </w:t>
      </w:r>
      <w:r w:rsidR="00CB72CF">
        <w:rPr>
          <w:rFonts w:ascii="Arial" w:eastAsia="Arial" w:hAnsi="Arial" w:cs="Arial"/>
          <w:b/>
          <w:color w:val="0070C0"/>
          <w:sz w:val="24"/>
          <w:szCs w:val="24"/>
        </w:rPr>
        <w:t>579</w:t>
      </w:r>
      <w:r w:rsidR="00B8040C" w:rsidRPr="000808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8089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CB72C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F09E6" w:rsidRPr="00AF09E6">
        <w:rPr>
          <w:rFonts w:ascii="Arial" w:eastAsia="Arial" w:hAnsi="Arial" w:cs="Arial"/>
          <w:b/>
          <w:color w:val="0070C0"/>
          <w:sz w:val="24"/>
          <w:szCs w:val="24"/>
        </w:rPr>
        <w:t>7 barangays</w:t>
      </w:r>
      <w:r w:rsidR="00AF09E6">
        <w:rPr>
          <w:rFonts w:ascii="Arial" w:eastAsia="Arial" w:hAnsi="Arial" w:cs="Arial"/>
          <w:b/>
          <w:sz w:val="24"/>
          <w:szCs w:val="24"/>
        </w:rPr>
        <w:t xml:space="preserve"> </w:t>
      </w:r>
      <w:r w:rsidR="00AF09E6" w:rsidRPr="00AF09E6">
        <w:rPr>
          <w:rFonts w:ascii="Arial" w:eastAsia="Arial" w:hAnsi="Arial" w:cs="Arial"/>
          <w:sz w:val="24"/>
          <w:szCs w:val="24"/>
        </w:rPr>
        <w:t>in</w:t>
      </w:r>
      <w:r w:rsidR="00AF09E6">
        <w:rPr>
          <w:rFonts w:ascii="Arial" w:eastAsia="Arial" w:hAnsi="Arial" w:cs="Arial"/>
          <w:b/>
          <w:sz w:val="24"/>
          <w:szCs w:val="24"/>
        </w:rPr>
        <w:t xml:space="preserve"> Lapuyan City,</w:t>
      </w:r>
      <w:r w:rsidR="003D72F6" w:rsidRPr="00CB72CF">
        <w:rPr>
          <w:rFonts w:ascii="Arial" w:eastAsia="Arial" w:hAnsi="Arial" w:cs="Arial"/>
          <w:b/>
          <w:sz w:val="24"/>
          <w:szCs w:val="24"/>
        </w:rPr>
        <w:t xml:space="preserve"> Zamboanga del Sur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756"/>
        <w:gridCol w:w="1422"/>
        <w:gridCol w:w="1417"/>
      </w:tblGrid>
      <w:tr w:rsidR="00CB72CF" w:rsidRPr="00CB72CF" w14:paraId="174A918E" w14:textId="77777777" w:rsidTr="00CB72CF">
        <w:trPr>
          <w:trHeight w:val="43"/>
        </w:trPr>
        <w:tc>
          <w:tcPr>
            <w:tcW w:w="25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D915B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F05B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B72CF" w:rsidRPr="00CB72CF" w14:paraId="2C8ADCDF" w14:textId="77777777" w:rsidTr="00CB72CF">
        <w:trPr>
          <w:trHeight w:val="133"/>
        </w:trPr>
        <w:tc>
          <w:tcPr>
            <w:tcW w:w="25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F3B1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A63E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634E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6574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72CF" w:rsidRPr="00CB72CF" w14:paraId="74CD4364" w14:textId="77777777" w:rsidTr="00CB72CF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BD58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A9BCE" w14:textId="683FCEFE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0894" w14:textId="0E6F1010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C7F8" w14:textId="3EC6FDF9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579 </w:t>
            </w:r>
          </w:p>
        </w:tc>
      </w:tr>
      <w:tr w:rsidR="00CB72CF" w:rsidRPr="00CB72CF" w14:paraId="0F0B18E4" w14:textId="77777777" w:rsidTr="00CB72CF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4C6B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3465D" w14:textId="1FEC0D58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F3F0B" w14:textId="6830DEE9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26575" w14:textId="42A8DBC5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579 </w:t>
            </w:r>
          </w:p>
        </w:tc>
      </w:tr>
      <w:tr w:rsidR="00CB72CF" w:rsidRPr="00CB72CF" w14:paraId="5830D48D" w14:textId="77777777" w:rsidTr="00CB72CF">
        <w:trPr>
          <w:trHeight w:val="20"/>
        </w:trPr>
        <w:tc>
          <w:tcPr>
            <w:tcW w:w="2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9F12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50E0" w14:textId="49842ED0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88B53" w14:textId="77712253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C2D9" w14:textId="5742F7DB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579 </w:t>
            </w:r>
          </w:p>
        </w:tc>
      </w:tr>
      <w:tr w:rsidR="00CB72CF" w:rsidRPr="00CB72CF" w14:paraId="16D11271" w14:textId="77777777" w:rsidTr="00CB72CF">
        <w:trPr>
          <w:trHeight w:val="20"/>
        </w:trPr>
        <w:tc>
          <w:tcPr>
            <w:tcW w:w="25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E7EE" w14:textId="29A4E4BF" w:rsidR="00CB72CF" w:rsidRPr="00CB72CF" w:rsidRDefault="00CB72CF" w:rsidP="008858C4">
            <w:pPr>
              <w:spacing w:after="0" w:line="240" w:lineRule="auto"/>
              <w:ind w:left="26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Lapuyan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9BCF" w14:textId="3A085FA4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421E6" w14:textId="735C856A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55C41" w14:textId="6286331D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579 </w:t>
            </w:r>
          </w:p>
        </w:tc>
      </w:tr>
    </w:tbl>
    <w:p w14:paraId="2C399F8C" w14:textId="3690B05B" w:rsidR="00F35CDA" w:rsidRPr="00052137" w:rsidRDefault="0083244C" w:rsidP="00CB72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CE250C1" w14:textId="77777777" w:rsidR="000B614D" w:rsidRPr="000B614D" w:rsidRDefault="000B614D" w:rsidP="000B614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CF9C5D" w14:textId="77777777" w:rsidR="001C1FE7" w:rsidRDefault="008C43F4" w:rsidP="001C1FE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8B5499" w:rsidRPr="008B549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64CFF17" w14:textId="2B2ACBB6" w:rsidR="008C43F4" w:rsidRPr="001C1FE7" w:rsidRDefault="00CB72CF" w:rsidP="001C1FE7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B72CF">
        <w:rPr>
          <w:rFonts w:ascii="Arial" w:eastAsia="Arial" w:hAnsi="Arial" w:cs="Arial"/>
          <w:b/>
          <w:color w:val="0070C0"/>
          <w:sz w:val="24"/>
          <w:szCs w:val="24"/>
        </w:rPr>
        <w:t>117</w:t>
      </w:r>
      <w:r w:rsidR="008C43F4" w:rsidRPr="001C1FE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C43F4" w:rsidRPr="001C1F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C43F4" w:rsidRPr="001C1FE7">
        <w:rPr>
          <w:rFonts w:ascii="Arial" w:eastAsia="Arial" w:hAnsi="Arial" w:cs="Arial"/>
          <w:sz w:val="24"/>
          <w:szCs w:val="24"/>
        </w:rPr>
        <w:t xml:space="preserve">or </w:t>
      </w:r>
      <w:r w:rsidRPr="00CB72CF">
        <w:rPr>
          <w:rFonts w:ascii="Arial" w:eastAsia="Arial" w:hAnsi="Arial" w:cs="Arial"/>
          <w:b/>
          <w:color w:val="0070C0"/>
          <w:sz w:val="24"/>
          <w:szCs w:val="24"/>
        </w:rPr>
        <w:t>579</w:t>
      </w:r>
      <w:r w:rsidR="008C43F4" w:rsidRPr="001C1FE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C43F4" w:rsidRPr="001C1FE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temporarily </w:t>
      </w:r>
      <w:r w:rsidR="00AF09E6">
        <w:rPr>
          <w:rFonts w:ascii="Arial" w:eastAsia="Arial" w:hAnsi="Arial" w:cs="Arial"/>
          <w:sz w:val="24"/>
          <w:szCs w:val="24"/>
        </w:rPr>
        <w:t>staying</w:t>
      </w:r>
      <w:r w:rsidR="008C43F4" w:rsidRPr="001C1FE7">
        <w:rPr>
          <w:rFonts w:ascii="Arial" w:eastAsia="Arial" w:hAnsi="Arial" w:cs="Arial"/>
          <w:sz w:val="24"/>
          <w:szCs w:val="24"/>
        </w:rPr>
        <w:t xml:space="preserve"> with </w:t>
      </w:r>
      <w:r w:rsidR="00073D94" w:rsidRPr="001C1FE7">
        <w:rPr>
          <w:rFonts w:ascii="Arial" w:eastAsia="Arial" w:hAnsi="Arial" w:cs="Arial"/>
          <w:sz w:val="24"/>
          <w:szCs w:val="24"/>
        </w:rPr>
        <w:t xml:space="preserve">their </w:t>
      </w:r>
      <w:r w:rsidR="000B614D">
        <w:rPr>
          <w:rFonts w:ascii="Arial" w:eastAsia="Arial" w:hAnsi="Arial" w:cs="Arial"/>
          <w:sz w:val="24"/>
          <w:szCs w:val="24"/>
        </w:rPr>
        <w:t>relatives</w:t>
      </w:r>
      <w:r w:rsidR="00AF09E6">
        <w:rPr>
          <w:rFonts w:ascii="Arial" w:eastAsia="Arial" w:hAnsi="Arial" w:cs="Arial"/>
          <w:sz w:val="24"/>
          <w:szCs w:val="24"/>
        </w:rPr>
        <w:t xml:space="preserve"> and</w:t>
      </w:r>
      <w:r w:rsidR="000B614D">
        <w:rPr>
          <w:rFonts w:ascii="Arial" w:eastAsia="Arial" w:hAnsi="Arial" w:cs="Arial"/>
          <w:sz w:val="24"/>
          <w:szCs w:val="24"/>
        </w:rPr>
        <w:t>/</w:t>
      </w:r>
      <w:r w:rsidR="00AF09E6">
        <w:rPr>
          <w:rFonts w:ascii="Arial" w:eastAsia="Arial" w:hAnsi="Arial" w:cs="Arial"/>
          <w:sz w:val="24"/>
          <w:szCs w:val="24"/>
        </w:rPr>
        <w:t xml:space="preserve">or </w:t>
      </w:r>
      <w:r w:rsidR="007E5AE1">
        <w:rPr>
          <w:rFonts w:ascii="Arial" w:eastAsia="Arial" w:hAnsi="Arial" w:cs="Arial"/>
          <w:sz w:val="24"/>
          <w:szCs w:val="24"/>
        </w:rPr>
        <w:t xml:space="preserve">friends. </w:t>
      </w:r>
      <w:r w:rsidR="008C43F4" w:rsidRPr="001C1FE7">
        <w:rPr>
          <w:rFonts w:ascii="Arial" w:eastAsia="Arial" w:hAnsi="Arial" w:cs="Arial"/>
          <w:sz w:val="24"/>
          <w:szCs w:val="24"/>
        </w:rPr>
        <w:t>(see Table 2).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77777777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075"/>
        <w:gridCol w:w="1077"/>
        <w:gridCol w:w="1243"/>
        <w:gridCol w:w="1241"/>
      </w:tblGrid>
      <w:tr w:rsidR="00CB72CF" w:rsidRPr="00CB72CF" w14:paraId="27DBE351" w14:textId="77777777" w:rsidTr="00CB72CF">
        <w:trPr>
          <w:trHeight w:val="43"/>
        </w:trPr>
        <w:tc>
          <w:tcPr>
            <w:tcW w:w="2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C94C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9576D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B72CF" w:rsidRPr="00CB72CF" w14:paraId="6DD95B37" w14:textId="77777777" w:rsidTr="00CB72CF">
        <w:trPr>
          <w:trHeight w:val="20"/>
        </w:trPr>
        <w:tc>
          <w:tcPr>
            <w:tcW w:w="2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42D8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3B00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435E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B72CF" w:rsidRPr="00CB72CF" w14:paraId="0C1361F0" w14:textId="77777777" w:rsidTr="00CB72CF">
        <w:trPr>
          <w:trHeight w:val="20"/>
        </w:trPr>
        <w:tc>
          <w:tcPr>
            <w:tcW w:w="2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46BD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A0F2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270E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EDF9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318B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72CF" w:rsidRPr="00CB72CF" w14:paraId="10A7D079" w14:textId="77777777" w:rsidTr="00CB72CF">
        <w:trPr>
          <w:trHeight w:val="2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FFBAD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165B" w14:textId="05AAF8E1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17A4D" w14:textId="11797A0E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9C43" w14:textId="0FD2C543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08A56" w14:textId="57C05EB2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</w:tr>
      <w:tr w:rsidR="00CB72CF" w:rsidRPr="00CB72CF" w14:paraId="1293832E" w14:textId="77777777" w:rsidTr="00CB72CF">
        <w:trPr>
          <w:trHeight w:val="2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7386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8CAF" w14:textId="678437DB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AE779" w14:textId="3198C509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D4E4" w14:textId="3C63A38E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F0B0" w14:textId="1FB00B9D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</w:tr>
      <w:tr w:rsidR="00CB72CF" w:rsidRPr="00CB72CF" w14:paraId="4707810A" w14:textId="77777777" w:rsidTr="00CB72CF">
        <w:trPr>
          <w:trHeight w:val="20"/>
        </w:trPr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D20" w14:textId="77777777" w:rsidR="00CB72CF" w:rsidRPr="00CB72CF" w:rsidRDefault="00CB72CF" w:rsidP="00CB72C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BE0F" w14:textId="6A08BC8C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F93A" w14:textId="777997B1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ED41" w14:textId="10137D7A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9F85" w14:textId="5807AC75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579 </w:t>
            </w:r>
          </w:p>
        </w:tc>
      </w:tr>
      <w:tr w:rsidR="00CB72CF" w:rsidRPr="00CB72CF" w14:paraId="683BBF11" w14:textId="77777777" w:rsidTr="00CB72CF">
        <w:trPr>
          <w:trHeight w:val="20"/>
        </w:trPr>
        <w:tc>
          <w:tcPr>
            <w:tcW w:w="2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3800B" w14:textId="04A50CC3" w:rsidR="00CB72CF" w:rsidRPr="00CB72CF" w:rsidRDefault="00CB72CF" w:rsidP="008858C4">
            <w:pPr>
              <w:spacing w:after="0" w:line="240" w:lineRule="auto"/>
              <w:ind w:left="26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Lapuyan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E801" w14:textId="13B48784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86F8A" w14:textId="40E5A386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E0AB" w14:textId="716BAF61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579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6CA4E" w14:textId="24CA3FB3" w:rsidR="00CB72CF" w:rsidRPr="00CB72CF" w:rsidRDefault="00CB72CF" w:rsidP="00CB72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72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579 </w:t>
            </w:r>
          </w:p>
        </w:tc>
      </w:tr>
    </w:tbl>
    <w:p w14:paraId="6F04EF70" w14:textId="2A1796BD" w:rsidR="007E5AE1" w:rsidRDefault="007E5AE1" w:rsidP="007E5AE1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As per agreement between DSWD-FO IX and LGU Lapuyan, the needs of the affected families will be continuously monitored and managed by LGU.</w:t>
      </w:r>
    </w:p>
    <w:p w14:paraId="54820507" w14:textId="723F1F7D" w:rsidR="001C1FE7" w:rsidRPr="007E5AE1" w:rsidRDefault="008C43F4" w:rsidP="007E5AE1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15ABCD36" w:rsidR="00D35715" w:rsidRPr="009721F1" w:rsidRDefault="008858C4" w:rsidP="00D3571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D35715" w:rsidRPr="008858C4">
        <w:rPr>
          <w:rFonts w:ascii="Arial" w:eastAsia="Arial" w:hAnsi="Arial" w:cs="Arial"/>
          <w:b/>
          <w:sz w:val="24"/>
          <w:szCs w:val="24"/>
        </w:rPr>
        <w:t>22</w:t>
      </w:r>
      <w:r w:rsidR="00E938BC" w:rsidRPr="008858C4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8858C4">
        <w:rPr>
          <w:rFonts w:ascii="Arial" w:eastAsia="Arial" w:hAnsi="Arial" w:cs="Arial"/>
          <w:b/>
          <w:sz w:val="24"/>
          <w:szCs w:val="24"/>
        </w:rPr>
        <w:t>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8C4"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858C4">
        <w:rPr>
          <w:rFonts w:ascii="Arial" w:eastAsia="Arial" w:hAnsi="Arial" w:cs="Arial"/>
          <w:b/>
          <w:sz w:val="24"/>
          <w:szCs w:val="24"/>
        </w:rPr>
        <w:t>damaged</w:t>
      </w:r>
      <w:r w:rsidR="00A472A2" w:rsidRPr="009721F1">
        <w:rPr>
          <w:rFonts w:ascii="Arial" w:eastAsia="Arial" w:hAnsi="Arial" w:cs="Arial"/>
          <w:b/>
          <w:sz w:val="24"/>
          <w:szCs w:val="24"/>
        </w:rPr>
        <w:t>;</w:t>
      </w:r>
      <w:r w:rsidR="00DC7C36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A472A2" w:rsidRPr="009721F1">
        <w:rPr>
          <w:rFonts w:ascii="Arial" w:eastAsia="Arial" w:hAnsi="Arial" w:cs="Arial"/>
          <w:sz w:val="24"/>
          <w:szCs w:val="24"/>
        </w:rPr>
        <w:t>of which</w:t>
      </w:r>
      <w:r w:rsidR="001C1FE7">
        <w:rPr>
          <w:rFonts w:ascii="Arial" w:eastAsia="Arial" w:hAnsi="Arial" w:cs="Arial"/>
          <w:sz w:val="24"/>
          <w:szCs w:val="24"/>
        </w:rPr>
        <w:t>,</w:t>
      </w:r>
      <w:r w:rsidR="00DC7C36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D35715" w:rsidRPr="008858C4">
        <w:rPr>
          <w:rFonts w:ascii="Arial" w:eastAsia="Arial" w:hAnsi="Arial" w:cs="Arial"/>
          <w:b/>
          <w:sz w:val="24"/>
          <w:szCs w:val="24"/>
        </w:rPr>
        <w:t>6</w:t>
      </w:r>
      <w:r w:rsidR="00A472A2" w:rsidRPr="008858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 w:rsidR="00F27639" w:rsidRPr="008858C4">
        <w:rPr>
          <w:rFonts w:ascii="Arial" w:eastAsia="Arial" w:hAnsi="Arial" w:cs="Arial"/>
          <w:sz w:val="24"/>
          <w:szCs w:val="24"/>
        </w:rPr>
        <w:t xml:space="preserve">re </w:t>
      </w:r>
      <w:r w:rsidR="00F27639" w:rsidRPr="008858C4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="00F27639" w:rsidRPr="008858C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8858C4">
        <w:rPr>
          <w:rFonts w:ascii="Arial" w:eastAsia="Arial" w:hAnsi="Arial" w:cs="Arial"/>
          <w:b/>
          <w:sz w:val="24"/>
          <w:szCs w:val="24"/>
        </w:rPr>
        <w:t>1</w:t>
      </w:r>
      <w:r w:rsidR="005A135C" w:rsidRPr="008858C4">
        <w:rPr>
          <w:rFonts w:ascii="Arial" w:eastAsia="Arial" w:hAnsi="Arial" w:cs="Arial"/>
          <w:b/>
          <w:sz w:val="24"/>
          <w:szCs w:val="24"/>
        </w:rPr>
        <w:t>6</w:t>
      </w:r>
      <w:r w:rsidR="00F27639" w:rsidRPr="008858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 w:rsidR="00B8040C" w:rsidRPr="008858C4">
        <w:rPr>
          <w:rFonts w:ascii="Arial" w:eastAsia="Arial" w:hAnsi="Arial" w:cs="Arial"/>
          <w:sz w:val="24"/>
          <w:szCs w:val="24"/>
        </w:rPr>
        <w:t>re</w:t>
      </w:r>
      <w:r w:rsidR="00F27639" w:rsidRPr="008858C4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F27639" w:rsidRPr="009721F1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9721F1">
        <w:rPr>
          <w:rFonts w:ascii="Arial" w:eastAsia="Arial" w:hAnsi="Arial" w:cs="Arial"/>
          <w:sz w:val="24"/>
          <w:szCs w:val="24"/>
        </w:rPr>
        <w:t xml:space="preserve">(see Table </w:t>
      </w:r>
      <w:r w:rsidR="00D35715">
        <w:rPr>
          <w:rFonts w:ascii="Arial" w:eastAsia="Arial" w:hAnsi="Arial" w:cs="Arial"/>
          <w:sz w:val="24"/>
          <w:szCs w:val="24"/>
        </w:rPr>
        <w:t>3</w:t>
      </w:r>
      <w:r w:rsidR="00140DA1" w:rsidRPr="009721F1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61DA78F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D35715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974"/>
        <w:gridCol w:w="1662"/>
        <w:gridCol w:w="1862"/>
      </w:tblGrid>
      <w:tr w:rsidR="00D35715" w:rsidRPr="008B5499" w14:paraId="622BB7F3" w14:textId="77777777" w:rsidTr="008B5499">
        <w:trPr>
          <w:trHeight w:val="20"/>
        </w:trPr>
        <w:tc>
          <w:tcPr>
            <w:tcW w:w="2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0999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D7AD" w14:textId="2038E944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D6700" w:rsidRPr="008B5499" w14:paraId="31C533F1" w14:textId="77777777" w:rsidTr="008B5499">
        <w:trPr>
          <w:trHeight w:val="20"/>
        </w:trPr>
        <w:tc>
          <w:tcPr>
            <w:tcW w:w="2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C2AD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036B8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22CF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43AD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D6700" w:rsidRPr="008B5499" w14:paraId="613D350D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E69B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8A05" w14:textId="7C6887F0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C720" w14:textId="672131B3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B9EC" w14:textId="78715352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8D6700" w:rsidRPr="008B5499" w14:paraId="0DDFC36D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914E9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D250" w14:textId="2EF3123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0C3A" w14:textId="15D5E02D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B349" w14:textId="6E0BCB6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8D6700" w:rsidRPr="008B5499" w14:paraId="218BBAA8" w14:textId="77777777" w:rsidTr="008B5499">
        <w:trPr>
          <w:trHeight w:val="20"/>
        </w:trPr>
        <w:tc>
          <w:tcPr>
            <w:tcW w:w="2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E026" w14:textId="77777777" w:rsidR="00D35715" w:rsidRPr="008B5499" w:rsidRDefault="00D35715" w:rsidP="008B549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A72" w14:textId="2C402F5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ECAE" w14:textId="09B227D7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DC42D" w14:textId="70CEFE8F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D35715" w:rsidRPr="008B5499" w14:paraId="5C5954CA" w14:textId="77777777" w:rsidTr="008B5499">
        <w:trPr>
          <w:trHeight w:val="20"/>
        </w:trPr>
        <w:tc>
          <w:tcPr>
            <w:tcW w:w="25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8425" w14:textId="62A5FCCF" w:rsidR="00D35715" w:rsidRPr="008B5499" w:rsidRDefault="00D35715" w:rsidP="008B5499">
            <w:pPr>
              <w:spacing w:after="0" w:line="240" w:lineRule="auto"/>
              <w:ind w:left="255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6917" w14:textId="2ECC4026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758A" w14:textId="65EF1FBE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21555" w14:textId="1F71B564" w:rsidR="00D35715" w:rsidRPr="008B5499" w:rsidRDefault="00D35715" w:rsidP="008B549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54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</w:tbl>
    <w:p w14:paraId="4E6568AE" w14:textId="6FD3D091" w:rsidR="008858C4" w:rsidRPr="00AF09E6" w:rsidRDefault="006B6C95" w:rsidP="00AF09E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F09E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BC0CA82" w14:textId="1283DF42" w:rsidR="008858C4" w:rsidRPr="008858C4" w:rsidRDefault="008858C4" w:rsidP="008858C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58C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2E25CEBF" w14:textId="4D5FE3B5" w:rsidR="008858C4" w:rsidRPr="004C5FC5" w:rsidRDefault="008858C4" w:rsidP="008858C4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4C5FC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8858C4">
        <w:rPr>
          <w:rFonts w:ascii="Arial" w:eastAsia="Arial" w:hAnsi="Arial" w:cs="Arial"/>
          <w:b/>
          <w:color w:val="0070C0"/>
          <w:sz w:val="24"/>
          <w:szCs w:val="24"/>
        </w:rPr>
        <w:t xml:space="preserve">224,173.00 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 by </w:t>
      </w:r>
      <w:r w:rsidRPr="002628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4</w:t>
      </w:r>
      <w:r w:rsidRPr="004C5FC5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7B79300D" w14:textId="77777777" w:rsidR="008858C4" w:rsidRPr="004C5FC5" w:rsidRDefault="008858C4" w:rsidP="008858C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3356B8A" w14:textId="42BF0494" w:rsidR="008858C4" w:rsidRPr="004C5FC5" w:rsidRDefault="008858C4" w:rsidP="008858C4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</w:t>
      </w:r>
      <w:r w:rsidRPr="004C5F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1255"/>
        <w:gridCol w:w="1092"/>
        <w:gridCol w:w="1158"/>
        <w:gridCol w:w="1062"/>
        <w:gridCol w:w="1482"/>
      </w:tblGrid>
      <w:tr w:rsidR="008858C4" w:rsidRPr="008858C4" w14:paraId="2002D033" w14:textId="7C1ADA3E" w:rsidTr="008858C4">
        <w:trPr>
          <w:trHeight w:val="20"/>
        </w:trPr>
        <w:tc>
          <w:tcPr>
            <w:tcW w:w="1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F5DF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4481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858C4" w:rsidRPr="008858C4" w14:paraId="48D5CB24" w14:textId="77777777" w:rsidTr="008858C4">
        <w:trPr>
          <w:trHeight w:val="20"/>
        </w:trPr>
        <w:tc>
          <w:tcPr>
            <w:tcW w:w="18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27A2B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7F91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B9D24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84226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7E00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A9CE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858C4" w:rsidRPr="008858C4" w14:paraId="24628E7E" w14:textId="77777777" w:rsidTr="008858C4">
        <w:trPr>
          <w:trHeight w:val="20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4804F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0F0D" w14:textId="1ABD243E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224,173.00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151C" w14:textId="5FB72DEE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B442" w14:textId="76CCB62D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16B9" w14:textId="0409F551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B3BC" w14:textId="1A9F4745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224,173.00 </w:t>
            </w:r>
          </w:p>
        </w:tc>
      </w:tr>
      <w:tr w:rsidR="008858C4" w:rsidRPr="008858C4" w14:paraId="4439BFA0" w14:textId="77777777" w:rsidTr="008858C4">
        <w:trPr>
          <w:trHeight w:val="20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325D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1BA2" w14:textId="48B584A6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224,173.00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0DD0" w14:textId="4D3A7170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1B70F" w14:textId="56995EE1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93C4" w14:textId="4703F8C6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8D77" w14:textId="7DA5EF21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224,173.00 </w:t>
            </w:r>
          </w:p>
        </w:tc>
      </w:tr>
      <w:tr w:rsidR="008858C4" w:rsidRPr="008858C4" w14:paraId="246069BC" w14:textId="77777777" w:rsidTr="008858C4">
        <w:trPr>
          <w:trHeight w:val="20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4187" w14:textId="77777777" w:rsidR="008858C4" w:rsidRPr="008858C4" w:rsidRDefault="008858C4" w:rsidP="008858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C12B" w14:textId="37805724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224,173.00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66277" w14:textId="51F485C3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C52E3" w14:textId="49FADF9A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9845" w14:textId="0BCE174B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65B0" w14:textId="41314840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224,173.00 </w:t>
            </w:r>
          </w:p>
        </w:tc>
      </w:tr>
      <w:tr w:rsidR="008858C4" w:rsidRPr="008858C4" w14:paraId="415D680A" w14:textId="77777777" w:rsidTr="008858C4">
        <w:trPr>
          <w:trHeight w:val="20"/>
        </w:trPr>
        <w:tc>
          <w:tcPr>
            <w:tcW w:w="1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DEFB" w14:textId="04BD26C9" w:rsidR="008858C4" w:rsidRPr="008858C4" w:rsidRDefault="008858C4" w:rsidP="008858C4">
            <w:pPr>
              <w:spacing w:after="0" w:line="240" w:lineRule="auto"/>
              <w:ind w:left="260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Lapuyan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0A97" w14:textId="6F174557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224,173.00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20AA" w14:textId="088E5385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037B" w14:textId="64CF20BE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6AEA" w14:textId="32E67CBE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E55B3" w14:textId="6B571FF0" w:rsidR="008858C4" w:rsidRPr="008858C4" w:rsidRDefault="008858C4" w:rsidP="008858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5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224,173.00 </w:t>
            </w:r>
          </w:p>
        </w:tc>
      </w:tr>
    </w:tbl>
    <w:p w14:paraId="2611836F" w14:textId="44D28C1B" w:rsidR="008858C4" w:rsidRPr="004C5FC5" w:rsidRDefault="008858C4" w:rsidP="008858C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C5FC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220B53B" w14:textId="77777777" w:rsidR="008858C4" w:rsidRDefault="008858C4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5F27935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3104D179" w14:textId="77777777" w:rsidR="008858C4" w:rsidRDefault="008858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3E39231C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3F071A9" w:rsidR="004C4D79" w:rsidRPr="00940E53" w:rsidRDefault="003D4F55" w:rsidP="00940E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September</w:t>
            </w:r>
            <w:r w:rsidR="004C4D79" w:rsidRP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12B5B454" w:rsidR="00A07EB4" w:rsidRPr="003D4F55" w:rsidRDefault="00940E53" w:rsidP="003D4F5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8B549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IX </w:t>
            </w:r>
            <w:r w:rsidR="003D4F5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3D4F55" w:rsidRPr="003D4F55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3D4F5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64D69FA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8858C4">
        <w:rPr>
          <w:rFonts w:ascii="Arial" w:eastAsia="Arial" w:hAnsi="Arial" w:cs="Arial"/>
          <w:i/>
          <w:sz w:val="20"/>
          <w:szCs w:val="24"/>
        </w:rPr>
        <w:t xml:space="preserve">continues to closely coordinate </w:t>
      </w:r>
      <w:r w:rsidR="008858C4" w:rsidRPr="008858C4">
        <w:rPr>
          <w:rFonts w:ascii="Arial" w:eastAsia="Arial" w:hAnsi="Arial" w:cs="Arial"/>
          <w:i/>
          <w:sz w:val="20"/>
          <w:szCs w:val="24"/>
        </w:rPr>
        <w:t>with DSWD-FO IX for any request of Technical Assistance and Resource Augmentation (TARA)</w:t>
      </w:r>
      <w:r w:rsidR="007676C2" w:rsidRPr="008858C4">
        <w:rPr>
          <w:rFonts w:ascii="Arial" w:eastAsia="Arial" w:hAnsi="Arial" w:cs="Arial"/>
          <w:i/>
          <w:sz w:val="20"/>
          <w:szCs w:val="24"/>
        </w:rPr>
        <w:t>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71DDFD" w14:textId="77777777" w:rsidR="001E01B2" w:rsidRPr="0008089C" w:rsidRDefault="001E01B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6926638" w:rsidR="00F35CDA" w:rsidRDefault="00940E5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CD18C90" w:rsidR="00C9090C" w:rsidRPr="00EC5F21" w:rsidRDefault="008858C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E1B25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8D3F20F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D77E374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11EA197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CD022C8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ADD7BA1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45338F4" w14:textId="5558BC0E" w:rsidR="0008089C" w:rsidRPr="0008089C" w:rsidRDefault="008858C4" w:rsidP="008858C4">
      <w:pPr>
        <w:tabs>
          <w:tab w:val="left" w:pos="7500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53E1A7CA" w14:textId="77777777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11166006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A91B" w14:textId="77777777" w:rsidR="00F71965" w:rsidRDefault="00F71965">
      <w:pPr>
        <w:spacing w:after="0" w:line="240" w:lineRule="auto"/>
      </w:pPr>
      <w:r>
        <w:separator/>
      </w:r>
    </w:p>
  </w:endnote>
  <w:endnote w:type="continuationSeparator" w:id="0">
    <w:p w14:paraId="4548857E" w14:textId="77777777" w:rsidR="00F71965" w:rsidRDefault="00F7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1F2A9D3" w:rsidR="00350210" w:rsidRPr="003F6C96" w:rsidRDefault="0082655B" w:rsidP="003F6C9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E5AE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E5AE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B72CF">
      <w:rPr>
        <w:rFonts w:ascii="Arial" w:eastAsia="Arial" w:hAnsi="Arial" w:cs="Arial"/>
        <w:sz w:val="14"/>
        <w:szCs w:val="14"/>
      </w:rPr>
      <w:t xml:space="preserve">DSWD DROMIC Terminal Report </w:t>
    </w:r>
    <w:r w:rsidR="008C43F4" w:rsidRPr="003F6C96">
      <w:rPr>
        <w:rFonts w:ascii="Arial" w:eastAsia="Arial" w:hAnsi="Arial" w:cs="Arial"/>
        <w:sz w:val="14"/>
        <w:szCs w:val="14"/>
      </w:rPr>
      <w:t>on the Flashf</w:t>
    </w:r>
    <w:r w:rsidR="00073D94" w:rsidRPr="003F6C96">
      <w:rPr>
        <w:rFonts w:ascii="Arial" w:eastAsia="Arial" w:hAnsi="Arial" w:cs="Arial"/>
        <w:sz w:val="14"/>
        <w:szCs w:val="14"/>
      </w:rPr>
      <w:t xml:space="preserve">lood Incident in </w:t>
    </w:r>
    <w:r w:rsidR="008C43F4" w:rsidRPr="003F6C96">
      <w:rPr>
        <w:rFonts w:ascii="Arial" w:eastAsia="Arial" w:hAnsi="Arial" w:cs="Arial"/>
        <w:sz w:val="14"/>
        <w:szCs w:val="14"/>
      </w:rPr>
      <w:t>Lapuyan</w:t>
    </w:r>
    <w:r w:rsidR="00CB72CF">
      <w:rPr>
        <w:rFonts w:ascii="Arial" w:eastAsia="Arial" w:hAnsi="Arial" w:cs="Arial"/>
        <w:sz w:val="14"/>
        <w:szCs w:val="14"/>
      </w:rPr>
      <w:t xml:space="preserve"> City, Zamboanga del Sur, 04</w:t>
    </w:r>
    <w:r w:rsidR="008C43F4" w:rsidRPr="003F6C96">
      <w:rPr>
        <w:rFonts w:ascii="Arial" w:eastAsia="Arial" w:hAnsi="Arial" w:cs="Arial"/>
        <w:sz w:val="14"/>
        <w:szCs w:val="14"/>
      </w:rPr>
      <w:t xml:space="preserve"> </w:t>
    </w:r>
    <w:r w:rsidR="00CB72CF">
      <w:rPr>
        <w:rFonts w:ascii="Arial" w:eastAsia="Arial" w:hAnsi="Arial" w:cs="Arial"/>
        <w:sz w:val="14"/>
        <w:szCs w:val="14"/>
      </w:rPr>
      <w:t>September</w:t>
    </w:r>
    <w:r w:rsidR="00B57127">
      <w:rPr>
        <w:rFonts w:ascii="Arial" w:eastAsia="Arial" w:hAnsi="Arial" w:cs="Arial"/>
        <w:sz w:val="14"/>
        <w:szCs w:val="14"/>
      </w:rPr>
      <w:t xml:space="preserve"> 2019, 6</w:t>
    </w:r>
    <w:r w:rsidR="008C43F4" w:rsidRPr="003F6C9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20C9" w14:textId="77777777" w:rsidR="00F71965" w:rsidRDefault="00F71965">
      <w:pPr>
        <w:spacing w:after="0" w:line="240" w:lineRule="auto"/>
      </w:pPr>
      <w:r>
        <w:separator/>
      </w:r>
    </w:p>
  </w:footnote>
  <w:footnote w:type="continuationSeparator" w:id="0">
    <w:p w14:paraId="2C812B48" w14:textId="77777777" w:rsidR="00F71965" w:rsidRDefault="00F7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1"/>
  </w:num>
  <w:num w:numId="5">
    <w:abstractNumId w:val="12"/>
  </w:num>
  <w:num w:numId="6">
    <w:abstractNumId w:val="19"/>
  </w:num>
  <w:num w:numId="7">
    <w:abstractNumId w:val="10"/>
  </w:num>
  <w:num w:numId="8">
    <w:abstractNumId w:val="22"/>
  </w:num>
  <w:num w:numId="9">
    <w:abstractNumId w:val="8"/>
  </w:num>
  <w:num w:numId="10">
    <w:abstractNumId w:val="18"/>
  </w:num>
  <w:num w:numId="11">
    <w:abstractNumId w:val="24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20"/>
  </w:num>
  <w:num w:numId="23">
    <w:abstractNumId w:val="21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8089C"/>
    <w:rsid w:val="00083789"/>
    <w:rsid w:val="00096310"/>
    <w:rsid w:val="00096890"/>
    <w:rsid w:val="000B614D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44F78"/>
    <w:rsid w:val="00151D97"/>
    <w:rsid w:val="00152650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7DB7"/>
    <w:rsid w:val="00371C7A"/>
    <w:rsid w:val="00373350"/>
    <w:rsid w:val="00385592"/>
    <w:rsid w:val="00386942"/>
    <w:rsid w:val="003901DC"/>
    <w:rsid w:val="0039157E"/>
    <w:rsid w:val="0039603F"/>
    <w:rsid w:val="003C3015"/>
    <w:rsid w:val="003D4F55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5AE1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8C4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629B9"/>
    <w:rsid w:val="00970CF8"/>
    <w:rsid w:val="009721F1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09E6"/>
    <w:rsid w:val="00B2534F"/>
    <w:rsid w:val="00B302C8"/>
    <w:rsid w:val="00B31859"/>
    <w:rsid w:val="00B40F59"/>
    <w:rsid w:val="00B43855"/>
    <w:rsid w:val="00B56338"/>
    <w:rsid w:val="00B57127"/>
    <w:rsid w:val="00B60682"/>
    <w:rsid w:val="00B624F8"/>
    <w:rsid w:val="00B62851"/>
    <w:rsid w:val="00B75DA9"/>
    <w:rsid w:val="00B771D8"/>
    <w:rsid w:val="00B8040C"/>
    <w:rsid w:val="00B815E2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36C"/>
    <w:rsid w:val="00C9090C"/>
    <w:rsid w:val="00C94159"/>
    <w:rsid w:val="00CA1800"/>
    <w:rsid w:val="00CA6EE8"/>
    <w:rsid w:val="00CB0E38"/>
    <w:rsid w:val="00CB57AA"/>
    <w:rsid w:val="00CB72CF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7639"/>
    <w:rsid w:val="00F35CDA"/>
    <w:rsid w:val="00F460E8"/>
    <w:rsid w:val="00F5100B"/>
    <w:rsid w:val="00F55BF9"/>
    <w:rsid w:val="00F63AF5"/>
    <w:rsid w:val="00F65096"/>
    <w:rsid w:val="00F71965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2019-09-04T08:07:00Z</dcterms:created>
  <dcterms:modified xsi:type="dcterms:W3CDTF">2019-09-04T08:07:00Z</dcterms:modified>
</cp:coreProperties>
</file>