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3D796E">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D796E" w:rsidRPr="003D796E">
        <w:rPr>
          <w:rFonts w:ascii="Arial" w:eastAsia="Arial" w:hAnsi="Arial" w:cs="Arial"/>
          <w:b/>
          <w:sz w:val="32"/>
          <w:szCs w:val="24"/>
        </w:rPr>
        <w:t>Tropical Storm</w:t>
      </w:r>
      <w:r w:rsidR="003D796E">
        <w:rPr>
          <w:rFonts w:ascii="Arial" w:eastAsia="Arial" w:hAnsi="Arial" w:cs="Arial"/>
          <w:b/>
          <w:sz w:val="32"/>
          <w:szCs w:val="24"/>
        </w:rPr>
        <w:t xml:space="preserve"> </w:t>
      </w:r>
      <w:r w:rsidR="003D796E" w:rsidRPr="003D796E">
        <w:rPr>
          <w:rFonts w:ascii="Arial" w:eastAsia="Arial" w:hAnsi="Arial" w:cs="Arial"/>
          <w:b/>
          <w:sz w:val="32"/>
          <w:szCs w:val="24"/>
        </w:rPr>
        <w:t>"I</w:t>
      </w:r>
      <w:r w:rsidR="003D796E">
        <w:rPr>
          <w:rFonts w:ascii="Arial" w:eastAsia="Arial" w:hAnsi="Arial" w:cs="Arial"/>
          <w:b/>
          <w:sz w:val="32"/>
          <w:szCs w:val="24"/>
        </w:rPr>
        <w:t>NENG</w:t>
      </w:r>
      <w:r w:rsidR="003D796E" w:rsidRPr="003D796E">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796E">
        <w:rPr>
          <w:rFonts w:ascii="Arial" w:eastAsia="Arial" w:hAnsi="Arial" w:cs="Arial"/>
          <w:sz w:val="24"/>
          <w:szCs w:val="24"/>
        </w:rPr>
        <w:t>23</w:t>
      </w:r>
      <w:r w:rsidR="00515F7A">
        <w:rPr>
          <w:rFonts w:ascii="Arial" w:eastAsia="Arial" w:hAnsi="Arial" w:cs="Arial"/>
          <w:sz w:val="24"/>
          <w:szCs w:val="24"/>
        </w:rPr>
        <w:t xml:space="preserve"> </w:t>
      </w:r>
      <w:r w:rsidR="003D796E">
        <w:rPr>
          <w:rFonts w:ascii="Arial" w:eastAsia="Arial" w:hAnsi="Arial" w:cs="Arial"/>
          <w:sz w:val="24"/>
          <w:szCs w:val="24"/>
        </w:rPr>
        <w:t>August</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D796E">
        <w:rPr>
          <w:rFonts w:ascii="Arial" w:eastAsia="Arial" w:hAnsi="Arial" w:cs="Arial"/>
          <w:sz w:val="24"/>
          <w:szCs w:val="24"/>
        </w:rPr>
        <w:t>4</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bookmarkEnd w:id="1"/>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5168265</wp:posOffset>
            </wp:positionH>
            <wp:positionV relativeFrom="paragraph">
              <wp:posOffset>201295</wp:posOffset>
            </wp:positionV>
            <wp:extent cx="4563745" cy="352679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745" cy="352679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E03166" w:rsidRPr="00E03166" w:rsidRDefault="003D796E" w:rsidP="00E03166">
      <w:pPr>
        <w:rPr>
          <w:rFonts w:ascii="Arial" w:eastAsia="Times New Roman" w:hAnsi="Arial" w:cs="Arial"/>
          <w:color w:val="auto"/>
          <w:sz w:val="24"/>
          <w:szCs w:val="24"/>
        </w:rPr>
      </w:pPr>
      <w:r w:rsidRPr="003D796E">
        <w:rPr>
          <w:rFonts w:ascii="Arial" w:hAnsi="Arial" w:cs="Arial"/>
          <w:b/>
          <w:color w:val="auto"/>
          <w:sz w:val="24"/>
          <w:szCs w:val="24"/>
        </w:rPr>
        <w:t>"INENG" HAS INTENSIFIED INTO A SEVERE TROPICAL STORM.</w:t>
      </w:r>
    </w:p>
    <w:p w:rsidR="00E03166" w:rsidRPr="00E03166" w:rsidRDefault="003D796E" w:rsidP="003D796E">
      <w:pPr>
        <w:pStyle w:val="ListParagraph"/>
        <w:numPr>
          <w:ilvl w:val="0"/>
          <w:numId w:val="3"/>
        </w:numPr>
        <w:rPr>
          <w:rFonts w:ascii="Arial" w:eastAsia="Times New Roman" w:hAnsi="Arial" w:cs="Arial"/>
          <w:color w:val="auto"/>
          <w:sz w:val="24"/>
          <w:szCs w:val="24"/>
        </w:rPr>
      </w:pPr>
      <w:r w:rsidRPr="003D796E">
        <w:rPr>
          <w:rFonts w:ascii="Arial" w:eastAsia="Times New Roman" w:hAnsi="Arial" w:cs="Arial"/>
          <w:color w:val="auto"/>
          <w:sz w:val="24"/>
          <w:szCs w:val="24"/>
        </w:rPr>
        <w:t xml:space="preserve">Today, moderate to heavy rains may be experienced over </w:t>
      </w:r>
      <w:proofErr w:type="spellStart"/>
      <w:r w:rsidRPr="003D796E">
        <w:rPr>
          <w:rFonts w:ascii="Arial" w:eastAsia="Times New Roman" w:hAnsi="Arial" w:cs="Arial"/>
          <w:color w:val="auto"/>
          <w:sz w:val="24"/>
          <w:szCs w:val="24"/>
        </w:rPr>
        <w:t>Batanes</w:t>
      </w:r>
      <w:proofErr w:type="spellEnd"/>
      <w:r w:rsidRPr="003D796E">
        <w:rPr>
          <w:rFonts w:ascii="Arial" w:eastAsia="Times New Roman" w:hAnsi="Arial" w:cs="Arial"/>
          <w:color w:val="auto"/>
          <w:sz w:val="24"/>
          <w:szCs w:val="24"/>
        </w:rPr>
        <w:t xml:space="preserve">, Cagayan (including Babuyan Group of Islands), </w:t>
      </w:r>
      <w:proofErr w:type="spellStart"/>
      <w:r w:rsidRPr="003D796E">
        <w:rPr>
          <w:rFonts w:ascii="Arial" w:eastAsia="Times New Roman" w:hAnsi="Arial" w:cs="Arial"/>
          <w:color w:val="auto"/>
          <w:sz w:val="24"/>
          <w:szCs w:val="24"/>
        </w:rPr>
        <w:t>Ilocos</w:t>
      </w:r>
      <w:proofErr w:type="spellEnd"/>
      <w:r w:rsidRPr="003D796E">
        <w:rPr>
          <w:rFonts w:ascii="Arial" w:eastAsia="Times New Roman" w:hAnsi="Arial" w:cs="Arial"/>
          <w:color w:val="auto"/>
          <w:sz w:val="24"/>
          <w:szCs w:val="24"/>
        </w:rPr>
        <w:t xml:space="preserve"> Norte and </w:t>
      </w:r>
      <w:proofErr w:type="spellStart"/>
      <w:r w:rsidRPr="003D796E">
        <w:rPr>
          <w:rFonts w:ascii="Arial" w:eastAsia="Times New Roman" w:hAnsi="Arial" w:cs="Arial"/>
          <w:color w:val="auto"/>
          <w:sz w:val="24"/>
          <w:szCs w:val="24"/>
        </w:rPr>
        <w:t>Apayao</w:t>
      </w:r>
      <w:proofErr w:type="spellEnd"/>
      <w:r w:rsidRPr="003D796E">
        <w:rPr>
          <w:rFonts w:ascii="Arial" w:eastAsia="Times New Roman" w:hAnsi="Arial" w:cs="Arial"/>
          <w:color w:val="auto"/>
          <w:sz w:val="24"/>
          <w:szCs w:val="24"/>
        </w:rPr>
        <w:t xml:space="preserve">. Light to moderate with intermittent heavy rains may prevail over Metro Manila, Central Luzon, Cavite, </w:t>
      </w:r>
      <w:proofErr w:type="spellStart"/>
      <w:r w:rsidRPr="003D796E">
        <w:rPr>
          <w:rFonts w:ascii="Arial" w:eastAsia="Times New Roman" w:hAnsi="Arial" w:cs="Arial"/>
          <w:color w:val="auto"/>
          <w:sz w:val="24"/>
          <w:szCs w:val="24"/>
        </w:rPr>
        <w:t>Batangas</w:t>
      </w:r>
      <w:proofErr w:type="spellEnd"/>
      <w:r w:rsidRPr="003D796E">
        <w:rPr>
          <w:rFonts w:ascii="Arial" w:eastAsia="Times New Roman" w:hAnsi="Arial" w:cs="Arial"/>
          <w:color w:val="auto"/>
          <w:sz w:val="24"/>
          <w:szCs w:val="24"/>
        </w:rPr>
        <w:t xml:space="preserve">, Mindoro Provinces, northern portions of Palawan (including Calamian and </w:t>
      </w:r>
      <w:proofErr w:type="spellStart"/>
      <w:r w:rsidRPr="003D796E">
        <w:rPr>
          <w:rFonts w:ascii="Arial" w:eastAsia="Times New Roman" w:hAnsi="Arial" w:cs="Arial"/>
          <w:color w:val="auto"/>
          <w:sz w:val="24"/>
          <w:szCs w:val="24"/>
        </w:rPr>
        <w:t>Cuyo</w:t>
      </w:r>
      <w:proofErr w:type="spellEnd"/>
      <w:r w:rsidRPr="003D796E">
        <w:rPr>
          <w:rFonts w:ascii="Arial" w:eastAsia="Times New Roman" w:hAnsi="Arial" w:cs="Arial"/>
          <w:color w:val="auto"/>
          <w:sz w:val="24"/>
          <w:szCs w:val="24"/>
        </w:rPr>
        <w:t xml:space="preserve"> Islands), and the rest of </w:t>
      </w:r>
      <w:proofErr w:type="spellStart"/>
      <w:r w:rsidRPr="003D796E">
        <w:rPr>
          <w:rFonts w:ascii="Arial" w:eastAsia="Times New Roman" w:hAnsi="Arial" w:cs="Arial"/>
          <w:color w:val="auto"/>
          <w:sz w:val="24"/>
          <w:szCs w:val="24"/>
        </w:rPr>
        <w:t>Ilocos</w:t>
      </w:r>
      <w:proofErr w:type="spellEnd"/>
      <w:r w:rsidRPr="003D796E">
        <w:rPr>
          <w:rFonts w:ascii="Arial" w:eastAsia="Times New Roman" w:hAnsi="Arial" w:cs="Arial"/>
          <w:color w:val="auto"/>
          <w:sz w:val="24"/>
          <w:szCs w:val="24"/>
        </w:rPr>
        <w:t xml:space="preserve"> Region, Cordillera Administrative Region and Cagayan Valley.</w:t>
      </w:r>
    </w:p>
    <w:p w:rsidR="003D796E" w:rsidRDefault="003D796E" w:rsidP="003D796E">
      <w:pPr>
        <w:pStyle w:val="ListParagraph"/>
        <w:numPr>
          <w:ilvl w:val="0"/>
          <w:numId w:val="3"/>
        </w:numPr>
        <w:rPr>
          <w:rFonts w:ascii="Arial" w:eastAsia="Times New Roman" w:hAnsi="Arial" w:cs="Arial"/>
          <w:color w:val="auto"/>
          <w:sz w:val="24"/>
          <w:szCs w:val="24"/>
        </w:rPr>
      </w:pPr>
      <w:r w:rsidRPr="003D796E">
        <w:rPr>
          <w:rFonts w:ascii="Arial" w:eastAsia="Times New Roman" w:hAnsi="Arial" w:cs="Arial"/>
          <w:color w:val="auto"/>
          <w:sz w:val="24"/>
          <w:szCs w:val="24"/>
        </w:rPr>
        <w:t xml:space="preserve">Tomorrow (24 August), moderate to heavy rains may be experienced over </w:t>
      </w:r>
      <w:proofErr w:type="spellStart"/>
      <w:r w:rsidRPr="003D796E">
        <w:rPr>
          <w:rFonts w:ascii="Arial" w:eastAsia="Times New Roman" w:hAnsi="Arial" w:cs="Arial"/>
          <w:color w:val="auto"/>
          <w:sz w:val="24"/>
          <w:szCs w:val="24"/>
        </w:rPr>
        <w:t>Ilocos</w:t>
      </w:r>
      <w:proofErr w:type="spellEnd"/>
      <w:r w:rsidRPr="003D796E">
        <w:rPr>
          <w:rFonts w:ascii="Arial" w:eastAsia="Times New Roman" w:hAnsi="Arial" w:cs="Arial"/>
          <w:color w:val="auto"/>
          <w:sz w:val="24"/>
          <w:szCs w:val="24"/>
        </w:rPr>
        <w:t xml:space="preserve"> Region, Cordillera Administrative Region, </w:t>
      </w:r>
      <w:proofErr w:type="spellStart"/>
      <w:r w:rsidRPr="003D796E">
        <w:rPr>
          <w:rFonts w:ascii="Arial" w:eastAsia="Times New Roman" w:hAnsi="Arial" w:cs="Arial"/>
          <w:color w:val="auto"/>
          <w:sz w:val="24"/>
          <w:szCs w:val="24"/>
        </w:rPr>
        <w:t>Batanes</w:t>
      </w:r>
      <w:proofErr w:type="spellEnd"/>
      <w:r w:rsidRPr="003D796E">
        <w:rPr>
          <w:rFonts w:ascii="Arial" w:eastAsia="Times New Roman" w:hAnsi="Arial" w:cs="Arial"/>
          <w:color w:val="auto"/>
          <w:sz w:val="24"/>
          <w:szCs w:val="24"/>
        </w:rPr>
        <w:t xml:space="preserve">, Cagayan (including Babuyan Group of Islands), and Mindoro Provinces. Light to moderate with intermittent heavy rains may prevail over Central Luzon, Cavite, </w:t>
      </w:r>
      <w:proofErr w:type="spellStart"/>
      <w:r w:rsidRPr="003D796E">
        <w:rPr>
          <w:rFonts w:ascii="Arial" w:eastAsia="Times New Roman" w:hAnsi="Arial" w:cs="Arial"/>
          <w:color w:val="auto"/>
          <w:sz w:val="24"/>
          <w:szCs w:val="24"/>
        </w:rPr>
        <w:t>Batangas</w:t>
      </w:r>
      <w:proofErr w:type="spellEnd"/>
      <w:r w:rsidRPr="003D796E">
        <w:rPr>
          <w:rFonts w:ascii="Arial" w:eastAsia="Times New Roman" w:hAnsi="Arial" w:cs="Arial"/>
          <w:color w:val="auto"/>
          <w:sz w:val="24"/>
          <w:szCs w:val="24"/>
        </w:rPr>
        <w:t xml:space="preserve">, northern portions of Palawan (including Calamian and </w:t>
      </w:r>
      <w:proofErr w:type="spellStart"/>
      <w:r w:rsidRPr="003D796E">
        <w:rPr>
          <w:rFonts w:ascii="Arial" w:eastAsia="Times New Roman" w:hAnsi="Arial" w:cs="Arial"/>
          <w:color w:val="auto"/>
          <w:sz w:val="24"/>
          <w:szCs w:val="24"/>
        </w:rPr>
        <w:t>Cuyo</w:t>
      </w:r>
      <w:proofErr w:type="spellEnd"/>
      <w:r w:rsidRPr="003D796E">
        <w:rPr>
          <w:rFonts w:ascii="Arial" w:eastAsia="Times New Roman" w:hAnsi="Arial" w:cs="Arial"/>
          <w:color w:val="auto"/>
          <w:sz w:val="24"/>
          <w:szCs w:val="24"/>
        </w:rPr>
        <w:t xml:space="preserve"> Islands), </w:t>
      </w:r>
      <w:proofErr w:type="spellStart"/>
      <w:r w:rsidRPr="003D796E">
        <w:rPr>
          <w:rFonts w:ascii="Arial" w:eastAsia="Times New Roman" w:hAnsi="Arial" w:cs="Arial"/>
          <w:color w:val="auto"/>
          <w:sz w:val="24"/>
          <w:szCs w:val="24"/>
        </w:rPr>
        <w:t>Aklan</w:t>
      </w:r>
      <w:proofErr w:type="spellEnd"/>
      <w:r w:rsidRPr="003D796E">
        <w:rPr>
          <w:rFonts w:ascii="Arial" w:eastAsia="Times New Roman" w:hAnsi="Arial" w:cs="Arial"/>
          <w:color w:val="auto"/>
          <w:sz w:val="24"/>
          <w:szCs w:val="24"/>
        </w:rPr>
        <w:t xml:space="preserve">, Antique, Iloilo, </w:t>
      </w:r>
      <w:proofErr w:type="spellStart"/>
      <w:r w:rsidRPr="003D796E">
        <w:rPr>
          <w:rFonts w:ascii="Arial" w:eastAsia="Times New Roman" w:hAnsi="Arial" w:cs="Arial"/>
          <w:color w:val="auto"/>
          <w:sz w:val="24"/>
          <w:szCs w:val="24"/>
        </w:rPr>
        <w:t>Guimaras</w:t>
      </w:r>
      <w:proofErr w:type="spellEnd"/>
      <w:r w:rsidRPr="003D796E">
        <w:rPr>
          <w:rFonts w:ascii="Arial" w:eastAsia="Times New Roman" w:hAnsi="Arial" w:cs="Arial"/>
          <w:color w:val="auto"/>
          <w:sz w:val="24"/>
          <w:szCs w:val="24"/>
        </w:rPr>
        <w:t>, and the rest of Cagayan Valley.</w:t>
      </w:r>
    </w:p>
    <w:p w:rsidR="003D796E" w:rsidRDefault="003D796E" w:rsidP="003D796E">
      <w:pPr>
        <w:pStyle w:val="ListParagraph"/>
        <w:numPr>
          <w:ilvl w:val="0"/>
          <w:numId w:val="3"/>
        </w:numPr>
        <w:rPr>
          <w:rFonts w:ascii="Arial" w:eastAsia="Times New Roman" w:hAnsi="Arial" w:cs="Arial"/>
          <w:color w:val="auto"/>
          <w:sz w:val="24"/>
          <w:szCs w:val="24"/>
        </w:rPr>
      </w:pPr>
      <w:r w:rsidRPr="003D796E">
        <w:rPr>
          <w:rFonts w:ascii="Arial" w:eastAsia="Times New Roman" w:hAnsi="Arial" w:cs="Arial"/>
          <w:color w:val="auto"/>
          <w:sz w:val="24"/>
          <w:szCs w:val="24"/>
        </w:rPr>
        <w:t>Residents in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Advisories and Heavy Rainfall Warnings to be issued by PAGASA Regional Services Divisions.</w:t>
      </w:r>
    </w:p>
    <w:p w:rsidR="003D796E" w:rsidRDefault="003D796E" w:rsidP="003D796E">
      <w:pPr>
        <w:pStyle w:val="ListParagraph"/>
        <w:rPr>
          <w:rFonts w:ascii="Arial" w:eastAsia="Times New Roman" w:hAnsi="Arial" w:cs="Arial"/>
          <w:color w:val="auto"/>
          <w:sz w:val="24"/>
          <w:szCs w:val="24"/>
        </w:rPr>
      </w:pPr>
    </w:p>
    <w:p w:rsidR="003D796E" w:rsidRPr="003D796E" w:rsidRDefault="003D796E" w:rsidP="003D796E">
      <w:pPr>
        <w:pStyle w:val="ListParagraph"/>
        <w:numPr>
          <w:ilvl w:val="0"/>
          <w:numId w:val="3"/>
        </w:numPr>
        <w:rPr>
          <w:rFonts w:ascii="Arial" w:eastAsia="Times New Roman" w:hAnsi="Arial" w:cs="Arial"/>
          <w:color w:val="auto"/>
          <w:sz w:val="24"/>
          <w:szCs w:val="24"/>
        </w:rPr>
      </w:pPr>
      <w:r w:rsidRPr="003D796E">
        <w:rPr>
          <w:rFonts w:ascii="Arial" w:eastAsia="Times New Roman" w:hAnsi="Arial" w:cs="Arial"/>
          <w:color w:val="auto"/>
          <w:sz w:val="24"/>
          <w:szCs w:val="24"/>
        </w:rPr>
        <w:lastRenderedPageBreak/>
        <w:t>"INENG" remains less likely to make landfall over any part of the country. Furthermore, it is expected to exit the Philippine Area of Responsibility (PAR) between Saturday (24 August) late evening and Sunday (25 August) early morning.</w:t>
      </w:r>
    </w:p>
    <w:p w:rsidR="003D796E" w:rsidRDefault="003D796E" w:rsidP="003D796E">
      <w:pPr>
        <w:pStyle w:val="ListParagraph"/>
        <w:numPr>
          <w:ilvl w:val="0"/>
          <w:numId w:val="3"/>
        </w:numPr>
        <w:rPr>
          <w:rFonts w:ascii="Arial" w:eastAsia="Times New Roman" w:hAnsi="Arial" w:cs="Arial"/>
          <w:color w:val="auto"/>
          <w:sz w:val="24"/>
          <w:szCs w:val="24"/>
        </w:rPr>
      </w:pPr>
      <w:r w:rsidRPr="003D796E">
        <w:rPr>
          <w:rFonts w:ascii="Arial" w:eastAsia="Times New Roman" w:hAnsi="Arial" w:cs="Arial"/>
          <w:color w:val="auto"/>
          <w:sz w:val="24"/>
          <w:szCs w:val="24"/>
        </w:rPr>
        <w:t xml:space="preserve">Sea travel is risky over the seaboards of areas under TCWS and the eastern seaboards of Central Luzon, Southern Luzon, and </w:t>
      </w:r>
      <w:proofErr w:type="spellStart"/>
      <w:r w:rsidRPr="003D796E">
        <w:rPr>
          <w:rFonts w:ascii="Arial" w:eastAsia="Times New Roman" w:hAnsi="Arial" w:cs="Arial"/>
          <w:color w:val="auto"/>
          <w:sz w:val="24"/>
          <w:szCs w:val="24"/>
        </w:rPr>
        <w:t>Visayas</w:t>
      </w:r>
      <w:proofErr w:type="spellEnd"/>
      <w:r w:rsidRPr="003D796E">
        <w:rPr>
          <w:rFonts w:ascii="Arial" w:eastAsia="Times New Roman" w:hAnsi="Arial" w:cs="Arial"/>
          <w:color w:val="auto"/>
          <w:sz w:val="24"/>
          <w:szCs w:val="24"/>
        </w:rPr>
        <w:t xml:space="preserve"> due to potentially rough sea conditions.</w:t>
      </w:r>
    </w:p>
    <w:p w:rsidR="00E03166" w:rsidRDefault="003D796E" w:rsidP="003D796E">
      <w:pPr>
        <w:pStyle w:val="NoSpacing1"/>
        <w:contextualSpacing/>
        <w:rPr>
          <w:rFonts w:ascii="Arial" w:eastAsia="Calibri" w:hAnsi="Arial" w:cs="Arial"/>
          <w:bCs/>
          <w:sz w:val="24"/>
          <w:szCs w:val="24"/>
          <w:lang w:val="en-PH" w:eastAsia="en-PH"/>
        </w:rPr>
      </w:pPr>
      <w:r w:rsidRPr="003D796E">
        <w:rPr>
          <w:rFonts w:ascii="Arial" w:eastAsia="Calibri" w:hAnsi="Arial" w:cs="Arial"/>
          <w:bCs/>
          <w:sz w:val="24"/>
          <w:szCs w:val="24"/>
          <w:lang w:val="en-PH" w:eastAsia="en-PH"/>
        </w:rPr>
        <w:t xml:space="preserve">At 4:00 AM today, the center of Severe Tropical Storm "INENG" was estimated based on all available data at 580 km East of </w:t>
      </w:r>
      <w:proofErr w:type="spellStart"/>
      <w:r w:rsidRPr="003D796E">
        <w:rPr>
          <w:rFonts w:ascii="Arial" w:eastAsia="Calibri" w:hAnsi="Arial" w:cs="Arial"/>
          <w:bCs/>
          <w:sz w:val="24"/>
          <w:szCs w:val="24"/>
          <w:lang w:val="en-PH" w:eastAsia="en-PH"/>
        </w:rPr>
        <w:t>Tuguegarao</w:t>
      </w:r>
      <w:proofErr w:type="spellEnd"/>
      <w:r w:rsidRPr="003D796E">
        <w:rPr>
          <w:rFonts w:ascii="Arial" w:eastAsia="Calibri" w:hAnsi="Arial" w:cs="Arial"/>
          <w:bCs/>
          <w:sz w:val="24"/>
          <w:szCs w:val="24"/>
          <w:lang w:val="en-PH" w:eastAsia="en-PH"/>
        </w:rPr>
        <w:t xml:space="preserve"> C</w:t>
      </w:r>
      <w:r>
        <w:rPr>
          <w:rFonts w:ascii="Arial" w:eastAsia="Calibri" w:hAnsi="Arial" w:cs="Arial"/>
          <w:bCs/>
          <w:sz w:val="24"/>
          <w:szCs w:val="24"/>
          <w:lang w:val="en-PH" w:eastAsia="en-PH"/>
        </w:rPr>
        <w:t>ity, Cagayan (17.4 °N, 127.2 °E</w:t>
      </w:r>
      <w:r w:rsidRPr="003D796E">
        <w:rPr>
          <w:rFonts w:ascii="Arial" w:eastAsia="Calibri" w:hAnsi="Arial" w:cs="Arial"/>
          <w:bCs/>
          <w:sz w:val="24"/>
          <w:szCs w:val="24"/>
          <w:lang w:val="en-PH" w:eastAsia="en-PH"/>
        </w:rPr>
        <w:t>)</w:t>
      </w:r>
    </w:p>
    <w:p w:rsidR="00151EA5" w:rsidRPr="00E03166" w:rsidRDefault="00A81C78" w:rsidP="00E03166">
      <w:pPr>
        <w:pStyle w:val="NoSpacing1"/>
        <w:ind w:left="2880" w:firstLine="720"/>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7" w:name="_Prepositioned_Resources:_Stockpile_1"/>
      <w:bookmarkEnd w:id="7"/>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941705</wp:posOffset>
                </wp:positionH>
                <wp:positionV relativeFrom="paragraph">
                  <wp:posOffset>90170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15pt;margin-top:7.1pt;width:59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H3R&#10;wLHdAAAACgEAAA8AAABkcnMvZG93bnJldi54bWxMj0FPwzAMhe9I/IfISNxYsm6w0TWdEIgr0wab&#10;xC1rvLaicaomW8u/n3sCn/z0np4/Z+vBNeKCXag9aZhOFAikwtuaSg1fn+8PSxAhGrKm8YQafjHA&#10;Or+9yUxqfU9bvOxiKbiEQmo0VDG2qZShqNCZMPEtEnsn3zkTWXaltJ3pudw1MlHqSTpTE1+oTIuv&#10;FRY/u7PTsP84fR/malO+uce294OS5J6l1vd3w8sKRMQh/oVhxGd0yJnp6M9kg2hYz5czjo5LAmIM&#10;zHhAHDUskgXIPJP/X8ivAAAA//8DAFBLAQItABQABgAIAAAAIQC2gziS/gAAAOEBAAATAAAAAAAA&#10;AAAAAAAAAAAAAABbQ29udGVudF9UeXBlc10ueG1sUEsBAi0AFAAGAAgAAAAhADj9If/WAAAAlAEA&#10;AAsAAAAAAAAAAAAAAAAALwEAAF9yZWxzLy5yZWxzUEsBAi0AFAAGAAgAAAAhABzhTJMKAgAA9AMA&#10;AA4AAAAAAAAAAAAAAAAALgIAAGRycy9lMm9Eb2MueG1sUEsBAi0AFAAGAAgAAAAhAH3RwLHdAAAA&#10;CgEAAA8AAAAAAAAAAAAAAAAAZAQAAGRycy9kb3ducmV2LnhtbFBLBQYAAAAABAAEAPMAAABuBQAA&#10;AAA=&#10;" filled="f" stroked="f">
                <v:textbox>
                  <w:txbxContent>
                    <w:p w:rsidR="00151EA5" w:rsidRPr="00EF4CDB" w:rsidRDefault="00151EA5" w:rsidP="00151EA5">
                      <w:pPr>
                        <w:rPr>
                          <w:rFonts w:ascii="Arial" w:hAnsi="Arial" w:cs="Arial"/>
                          <w:b/>
                          <w:color w:val="0070C0"/>
                          <w:sz w:val="40"/>
                        </w:rPr>
                      </w:pPr>
                      <w:r w:rsidRPr="00EF4CDB">
                        <w:rPr>
                          <w:rFonts w:ascii="Arial" w:hAnsi="Arial" w:cs="Arial"/>
                          <w:b/>
                          <w:color w:val="0070C0"/>
                          <w:sz w:val="40"/>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F2647D"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drawing>
          <wp:anchor distT="0" distB="0" distL="114300" distR="114300" simplePos="0" relativeHeight="251664384" behindDoc="1" locked="0" layoutInCell="1" allowOverlap="1" wp14:anchorId="58A8790F" wp14:editId="31A92467">
            <wp:simplePos x="0" y="0"/>
            <wp:positionH relativeFrom="column">
              <wp:posOffset>1233805</wp:posOffset>
            </wp:positionH>
            <wp:positionV relativeFrom="paragraph">
              <wp:posOffset>59690</wp:posOffset>
            </wp:positionV>
            <wp:extent cx="6800850" cy="3825062"/>
            <wp:effectExtent l="0" t="0" r="0" b="444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062"/>
                    </a:xfrm>
                    <a:prstGeom prst="rect">
                      <a:avLst/>
                    </a:prstGeom>
                  </pic:spPr>
                </pic:pic>
              </a:graphicData>
            </a:graphic>
            <wp14:sizeRelH relativeFrom="margin">
              <wp14:pctWidth>0</wp14:pctWidth>
            </wp14:sizeRelH>
            <wp14:sizeRelV relativeFrom="margin">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251556" w:rsidRDefault="00251556" w:rsidP="00816A95">
      <w:pPr>
        <w:spacing w:after="0" w:line="240" w:lineRule="auto"/>
        <w:contextualSpacing/>
        <w:rPr>
          <w:rFonts w:ascii="Arial" w:eastAsia="Arial" w:hAnsi="Arial" w:cs="Arial"/>
          <w:b/>
          <w:color w:val="002060"/>
          <w:sz w:val="28"/>
          <w:szCs w:val="24"/>
        </w:rPr>
      </w:pPr>
    </w:p>
    <w:p w:rsidR="003D796E" w:rsidRDefault="003D796E" w:rsidP="00816A95">
      <w:pPr>
        <w:spacing w:after="0" w:line="240" w:lineRule="auto"/>
        <w:contextualSpacing/>
        <w:rPr>
          <w:rFonts w:ascii="Arial" w:eastAsia="Arial" w:hAnsi="Arial" w:cs="Arial"/>
          <w:b/>
          <w:color w:val="002060"/>
          <w:sz w:val="28"/>
          <w:szCs w:val="24"/>
        </w:rPr>
      </w:pP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777249" w:rsidRPr="00777249">
        <w:rPr>
          <w:rFonts w:ascii="Arial" w:eastAsia="Arial" w:hAnsi="Arial" w:cs="Arial"/>
          <w:b/>
          <w:color w:val="0070C0"/>
          <w:sz w:val="24"/>
          <w:szCs w:val="24"/>
        </w:rPr>
        <w:t>1,868,058,006.81</w:t>
      </w:r>
      <w:r w:rsidR="00777249">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777249" w:rsidRPr="00777249">
        <w:rPr>
          <w:rFonts w:ascii="Arial" w:eastAsia="Arial" w:hAnsi="Arial" w:cs="Arial"/>
          <w:b/>
          <w:color w:val="0070C0"/>
          <w:sz w:val="24"/>
          <w:szCs w:val="24"/>
        </w:rPr>
        <w:t>1,121,520,550.00</w:t>
      </w:r>
      <w:r w:rsidR="00777249">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777249" w:rsidRPr="00777249">
        <w:rPr>
          <w:rFonts w:ascii="Arial" w:eastAsia="Arial" w:hAnsi="Arial" w:cs="Arial"/>
          <w:b/>
          <w:color w:val="0070C0"/>
          <w:sz w:val="24"/>
          <w:szCs w:val="24"/>
        </w:rPr>
        <w:t>1,076,221,717.34</w:t>
      </w:r>
      <w:r w:rsidR="00777249">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777249" w:rsidRPr="00777249">
        <w:rPr>
          <w:rFonts w:ascii="Arial" w:eastAsia="Arial" w:hAnsi="Arial" w:cs="Arial"/>
          <w:b/>
          <w:color w:val="0070C0"/>
          <w:sz w:val="24"/>
          <w:szCs w:val="24"/>
        </w:rPr>
        <w:t>360,320</w:t>
      </w:r>
      <w:r w:rsidR="00777249">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777249" w:rsidRPr="00777249">
        <w:rPr>
          <w:rFonts w:ascii="Arial" w:eastAsia="Arial" w:hAnsi="Arial" w:cs="Arial"/>
          <w:b/>
          <w:color w:val="0070C0"/>
          <w:sz w:val="24"/>
          <w:szCs w:val="24"/>
        </w:rPr>
        <w:t>137,510,537.82</w:t>
      </w:r>
      <w:r w:rsidR="00777249">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777249" w:rsidRPr="00777249">
        <w:rPr>
          <w:rFonts w:ascii="Arial" w:eastAsia="Arial" w:hAnsi="Arial" w:cs="Arial"/>
          <w:b/>
          <w:color w:val="0070C0"/>
          <w:sz w:val="24"/>
          <w:szCs w:val="24"/>
        </w:rPr>
        <w:t>609,026,918.99</w:t>
      </w:r>
      <w:r w:rsidRPr="00BE43F9">
        <w:rPr>
          <w:rFonts w:ascii="Arial" w:eastAsia="Arial" w:hAnsi="Arial" w:cs="Arial"/>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801" w:type="pct"/>
        <w:tblInd w:w="701" w:type="dxa"/>
        <w:tblCellMar>
          <w:left w:w="57" w:type="dxa"/>
          <w:right w:w="57" w:type="dxa"/>
        </w:tblCellMar>
        <w:tblLook w:val="04A0" w:firstRow="1" w:lastRow="0" w:firstColumn="1" w:lastColumn="0" w:noHBand="0" w:noVBand="1"/>
      </w:tblPr>
      <w:tblGrid>
        <w:gridCol w:w="1532"/>
        <w:gridCol w:w="1731"/>
        <w:gridCol w:w="938"/>
        <w:gridCol w:w="1557"/>
        <w:gridCol w:w="1745"/>
        <w:gridCol w:w="1589"/>
        <w:gridCol w:w="2718"/>
        <w:gridCol w:w="2931"/>
      </w:tblGrid>
      <w:tr w:rsidR="004808D9" w:rsidRPr="00460385" w:rsidTr="004808D9">
        <w:trPr>
          <w:trHeight w:val="190"/>
          <w:tblHeader/>
        </w:trPr>
        <w:tc>
          <w:tcPr>
            <w:tcW w:w="5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FIELD OFFICE</w:t>
            </w:r>
          </w:p>
        </w:tc>
        <w:tc>
          <w:tcPr>
            <w:tcW w:w="5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STANDBY FUNDS</w:t>
            </w:r>
          </w:p>
        </w:tc>
        <w:tc>
          <w:tcPr>
            <w:tcW w:w="2899" w:type="pct"/>
            <w:gridSpan w:val="5"/>
            <w:tcBorders>
              <w:top w:val="single" w:sz="6" w:space="0" w:color="000000"/>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STOCKPILES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STANDBY FUNDS &amp; STOCKPILE</w:t>
            </w:r>
          </w:p>
        </w:tc>
      </w:tr>
      <w:tr w:rsidR="004808D9" w:rsidRPr="00460385" w:rsidTr="00971537">
        <w:trPr>
          <w:trHeight w:val="184"/>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846"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Family Food Packs</w:t>
            </w:r>
          </w:p>
        </w:tc>
        <w:tc>
          <w:tcPr>
            <w:tcW w:w="59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Other Food Items</w:t>
            </w:r>
          </w:p>
        </w:tc>
        <w:tc>
          <w:tcPr>
            <w:tcW w:w="53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Non Food Items</w:t>
            </w:r>
          </w:p>
        </w:tc>
        <w:tc>
          <w:tcPr>
            <w:tcW w:w="922" w:type="pct"/>
            <w:vMerge w:val="restart"/>
            <w:tcBorders>
              <w:top w:val="single" w:sz="6" w:space="0" w:color="CCCCCC"/>
              <w:left w:val="single" w:sz="6" w:space="0" w:color="CCCCCC"/>
              <w:bottom w:val="single" w:sz="6" w:space="0" w:color="000000"/>
              <w:right w:val="single" w:sz="4" w:space="0" w:color="auto"/>
            </w:tcBorders>
            <w:shd w:val="clear" w:color="auto" w:fill="808080" w:themeFill="background1" w:themeFillShade="80"/>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SUB-TOTAL (Food and NFIs)</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4808D9"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587" w:type="pct"/>
            <w:vMerge/>
            <w:tcBorders>
              <w:top w:val="single" w:sz="6" w:space="0" w:color="000000"/>
              <w:left w:val="single" w:sz="6" w:space="0" w:color="CCCCCC"/>
              <w:bottom w:val="single" w:sz="6" w:space="0" w:color="000000"/>
              <w:right w:val="single" w:sz="6" w:space="0" w:color="000000"/>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Quantity</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4808D9" w:rsidRPr="00460385" w:rsidRDefault="004808D9" w:rsidP="004808D9">
            <w:pPr>
              <w:spacing w:line="240" w:lineRule="auto"/>
              <w:contextualSpacing/>
              <w:jc w:val="center"/>
              <w:rPr>
                <w:rFonts w:ascii="Arial Narrow" w:hAnsi="Arial Narrow" w:cs="Arial"/>
                <w:b/>
                <w:bCs/>
                <w:i/>
                <w:iCs/>
                <w:sz w:val="20"/>
                <w:szCs w:val="20"/>
              </w:rPr>
            </w:pPr>
            <w:r w:rsidRPr="00460385">
              <w:rPr>
                <w:rFonts w:ascii="Arial Narrow" w:hAnsi="Arial Narrow" w:cs="Arial"/>
                <w:b/>
                <w:bCs/>
                <w:i/>
                <w:iCs/>
                <w:sz w:val="20"/>
                <w:szCs w:val="20"/>
              </w:rPr>
              <w:t>Total Cost</w:t>
            </w:r>
          </w:p>
        </w:tc>
        <w:tc>
          <w:tcPr>
            <w:tcW w:w="922" w:type="pct"/>
            <w:vMerge/>
            <w:tcBorders>
              <w:top w:val="single" w:sz="6" w:space="0" w:color="CCCCCC"/>
              <w:left w:val="single" w:sz="6" w:space="0" w:color="CCCCCC"/>
              <w:bottom w:val="single" w:sz="6" w:space="0" w:color="000000"/>
              <w:right w:val="single" w:sz="4" w:space="0" w:color="auto"/>
            </w:tcBorders>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4808D9" w:rsidRPr="00460385" w:rsidRDefault="004808D9" w:rsidP="004808D9">
            <w:pPr>
              <w:spacing w:line="240" w:lineRule="auto"/>
              <w:contextualSpacing/>
              <w:rPr>
                <w:rFonts w:ascii="Arial Narrow" w:hAnsi="Arial Narrow" w:cs="Arial"/>
                <w:b/>
                <w:bCs/>
                <w:i/>
                <w:iCs/>
                <w:sz w:val="20"/>
                <w:szCs w:val="20"/>
              </w:rPr>
            </w:pPr>
          </w:p>
        </w:tc>
      </w:tr>
      <w:tr w:rsidR="00971537" w:rsidRPr="00460385" w:rsidTr="00971537">
        <w:trPr>
          <w:trHeight w:val="35"/>
          <w:tblHeader/>
        </w:trPr>
        <w:tc>
          <w:tcPr>
            <w:tcW w:w="520" w:type="pct"/>
            <w:vMerge/>
            <w:tcBorders>
              <w:top w:val="single" w:sz="6" w:space="0" w:color="000000"/>
              <w:left w:val="single" w:sz="6" w:space="0" w:color="000000"/>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bCs/>
                <w:sz w:val="20"/>
                <w:szCs w:val="20"/>
              </w:rPr>
            </w:pPr>
            <w:r w:rsidRPr="00971537">
              <w:rPr>
                <w:rFonts w:eastAsia="Times New Roman" w:cs="Arial"/>
                <w:b/>
                <w:bCs/>
                <w:sz w:val="20"/>
                <w:szCs w:val="20"/>
              </w:rPr>
              <w:t>TOTAL</w:t>
            </w:r>
          </w:p>
        </w:tc>
        <w:tc>
          <w:tcPr>
            <w:tcW w:w="587" w:type="pct"/>
            <w:vMerge/>
            <w:tcBorders>
              <w:top w:val="single" w:sz="6" w:space="0" w:color="000000"/>
              <w:left w:val="single" w:sz="6" w:space="0" w:color="CCCCCC"/>
              <w:bottom w:val="single" w:sz="6" w:space="0" w:color="000000"/>
              <w:right w:val="single" w:sz="6" w:space="0" w:color="000000"/>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1,190,869,415.84</w:t>
            </w:r>
          </w:p>
        </w:tc>
        <w:tc>
          <w:tcPr>
            <w:tcW w:w="3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359,124</w:t>
            </w:r>
          </w:p>
        </w:tc>
        <w:tc>
          <w:tcPr>
            <w:tcW w:w="5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134,922,306.28</w:t>
            </w:r>
          </w:p>
        </w:tc>
        <w:tc>
          <w:tcPr>
            <w:tcW w:w="5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161,342,886.34</w:t>
            </w:r>
          </w:p>
        </w:tc>
        <w:tc>
          <w:tcPr>
            <w:tcW w:w="53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971537" w:rsidRPr="00971537" w:rsidRDefault="00971537" w:rsidP="00971537">
            <w:pPr>
              <w:spacing w:line="240" w:lineRule="auto"/>
              <w:contextualSpacing/>
              <w:jc w:val="center"/>
              <w:rPr>
                <w:rFonts w:ascii="Arial Narrow" w:hAnsi="Arial Narrow" w:cs="Arial"/>
                <w:b/>
                <w:bCs/>
                <w:i/>
                <w:iCs/>
                <w:sz w:val="20"/>
                <w:szCs w:val="20"/>
              </w:rPr>
            </w:pPr>
            <w:r w:rsidRPr="00971537">
              <w:rPr>
                <w:rFonts w:ascii="Arial Narrow" w:hAnsi="Arial Narrow" w:cs="Arial"/>
                <w:b/>
                <w:bCs/>
                <w:i/>
                <w:iCs/>
                <w:sz w:val="20"/>
                <w:szCs w:val="20"/>
              </w:rPr>
              <w:t>497,611,158.73</w:t>
            </w:r>
          </w:p>
        </w:tc>
        <w:tc>
          <w:tcPr>
            <w:tcW w:w="922" w:type="pct"/>
            <w:vMerge/>
            <w:tcBorders>
              <w:top w:val="single" w:sz="6" w:space="0" w:color="CCCCCC"/>
              <w:left w:val="single" w:sz="6" w:space="0" w:color="CCCCCC"/>
              <w:bottom w:val="single" w:sz="6" w:space="0" w:color="000000"/>
              <w:right w:val="single" w:sz="4" w:space="0" w:color="auto"/>
            </w:tcBorders>
            <w:shd w:val="clear" w:color="auto" w:fill="C6E0B4"/>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658,954,045.07</w:t>
            </w:r>
          </w:p>
        </w:tc>
        <w:tc>
          <w:tcPr>
            <w:tcW w:w="994"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71537" w:rsidRPr="00971537" w:rsidRDefault="00971537" w:rsidP="0097153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Arial"/>
                <w:b/>
                <w:bCs/>
                <w:sz w:val="20"/>
                <w:szCs w:val="20"/>
              </w:rPr>
            </w:pPr>
            <w:r w:rsidRPr="00971537">
              <w:rPr>
                <w:rFonts w:eastAsia="Times New Roman" w:cs="Arial"/>
                <w:b/>
                <w:bCs/>
                <w:sz w:val="20"/>
                <w:szCs w:val="20"/>
              </w:rPr>
              <w:t>1,984,745,767.19</w:t>
            </w:r>
          </w:p>
        </w:tc>
      </w:tr>
      <w:tr w:rsidR="00777249" w:rsidRPr="00460385" w:rsidTr="00777249">
        <w:trPr>
          <w:trHeight w:val="20"/>
        </w:trPr>
        <w:tc>
          <w:tcPr>
            <w:tcW w:w="520" w:type="pct"/>
            <w:tcBorders>
              <w:top w:val="single" w:sz="6" w:space="0" w:color="CCCCCC"/>
              <w:left w:val="single" w:sz="6" w:space="0" w:color="000000"/>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TOTAL</w:t>
            </w:r>
          </w:p>
        </w:tc>
        <w:tc>
          <w:tcPr>
            <w:tcW w:w="587"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1,121,520,550.00</w:t>
            </w:r>
          </w:p>
        </w:tc>
        <w:tc>
          <w:tcPr>
            <w:tcW w:w="318"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360,320</w:t>
            </w:r>
          </w:p>
        </w:tc>
        <w:tc>
          <w:tcPr>
            <w:tcW w:w="528"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137,510,537.82</w:t>
            </w:r>
          </w:p>
        </w:tc>
        <w:tc>
          <w:tcPr>
            <w:tcW w:w="592"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139,908,337.80</w:t>
            </w:r>
          </w:p>
        </w:tc>
        <w:tc>
          <w:tcPr>
            <w:tcW w:w="539"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469,118,581.19</w:t>
            </w:r>
          </w:p>
        </w:tc>
        <w:tc>
          <w:tcPr>
            <w:tcW w:w="922" w:type="pct"/>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609,026,918.99</w:t>
            </w:r>
          </w:p>
        </w:tc>
        <w:tc>
          <w:tcPr>
            <w:tcW w:w="994" w:type="pct"/>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1,868,058,006.81</w:t>
            </w:r>
          </w:p>
        </w:tc>
      </w:tr>
      <w:tr w:rsidR="00777249" w:rsidRPr="00460385" w:rsidTr="00777249">
        <w:trPr>
          <w:trHeight w:val="167"/>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Central Office</w:t>
            </w:r>
          </w:p>
        </w:tc>
        <w:tc>
          <w:tcPr>
            <w:tcW w:w="587" w:type="pct"/>
            <w:tcBorders>
              <w:top w:val="double" w:sz="2"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1,076,221,717.34</w:t>
            </w:r>
          </w:p>
        </w:tc>
        <w:tc>
          <w:tcPr>
            <w:tcW w:w="318"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p>
        </w:tc>
        <w:tc>
          <w:tcPr>
            <w:tcW w:w="528"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p>
        </w:tc>
        <w:tc>
          <w:tcPr>
            <w:tcW w:w="592"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p>
        </w:tc>
        <w:tc>
          <w:tcPr>
            <w:tcW w:w="539"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p>
        </w:tc>
        <w:tc>
          <w:tcPr>
            <w:tcW w:w="922" w:type="pct"/>
            <w:tcBorders>
              <w:top w:val="double" w:sz="2"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p>
        </w:tc>
        <w:tc>
          <w:tcPr>
            <w:tcW w:w="994" w:type="pc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1,076,221,717.34</w:t>
            </w:r>
          </w:p>
        </w:tc>
      </w:tr>
      <w:tr w:rsidR="00777249" w:rsidRPr="00460385" w:rsidTr="00777249">
        <w:trPr>
          <w:trHeight w:val="114"/>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NRLMB - NROC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110,049</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43,957,337.86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75,619,850.18</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324,598,189.10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400,218,039.28</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444,175,377.14</w:t>
            </w:r>
          </w:p>
        </w:tc>
      </w:tr>
      <w:tr w:rsidR="00777249" w:rsidRPr="00460385" w:rsidTr="00777249">
        <w:trPr>
          <w:trHeight w:val="63"/>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NRLMB - VDRC</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11,700</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4,212,000.00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1,203,200.00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5,224,562.31</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6,427,762.31</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10,639,762.31</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2,379,275.00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14,674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5,282,640.00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1,525,319.12</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17,615,504.54</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19,140,823.66</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26,802,738.66</w:t>
            </w:r>
          </w:p>
        </w:tc>
      </w:tr>
      <w:tr w:rsidR="00777249" w:rsidRPr="00460385" w:rsidTr="003429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II</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3,743,301.60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28,662</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9,214,300.12</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84,672.00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349,602.75</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434,274.75</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13,391,876.47</w:t>
            </w:r>
          </w:p>
        </w:tc>
      </w:tr>
      <w:tr w:rsidR="00777249" w:rsidRPr="00460385" w:rsidTr="00777249">
        <w:trPr>
          <w:trHeight w:val="278"/>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lastRenderedPageBreak/>
              <w:t>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3,068,057.00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22,690</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9,565,871.00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979,469.70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241,406.00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1,220,875.70</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13,854,803.70</w:t>
            </w:r>
          </w:p>
        </w:tc>
      </w:tr>
      <w:tr w:rsidR="00777249" w:rsidRPr="00460385" w:rsidTr="00342911">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CALABARZON</w:t>
            </w:r>
          </w:p>
        </w:tc>
        <w:tc>
          <w:tcPr>
            <w:tcW w:w="58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3,000,100.00</w:t>
            </w:r>
          </w:p>
        </w:tc>
        <w:tc>
          <w:tcPr>
            <w:tcW w:w="31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4,802</w:t>
            </w:r>
          </w:p>
        </w:tc>
        <w:tc>
          <w:tcPr>
            <w:tcW w:w="528"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1,725,244.66</w:t>
            </w:r>
          </w:p>
        </w:tc>
        <w:tc>
          <w:tcPr>
            <w:tcW w:w="59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3,790,447.60</w:t>
            </w:r>
          </w:p>
        </w:tc>
        <w:tc>
          <w:tcPr>
            <w:tcW w:w="53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3,423,852.37</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7,214,299.97</w:t>
            </w:r>
          </w:p>
        </w:tc>
        <w:tc>
          <w:tcPr>
            <w:tcW w:w="99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11,939,644.63</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MIMAROPA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2,999,971.58</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30,668</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12,819,224.00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1,565,352.90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859,605.00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2,424,957.90</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18,244,153.48</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V</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21,045</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8,207,550.00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8,958,033.52</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40,704,948.22</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49,662,981.74</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60,870,531.74</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VI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5,691</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2,057,295.72</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8,594,920.49</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3,711,406.00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12,306,326.49</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17,363,622.21</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VII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3,001,150.00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15,338</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5,521,680.00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15,857,416.70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16,424,206.18</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32,281,622.88</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40,804,452.88</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VIII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3,202,960.00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9,818</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3,548,421.56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1,304,119.84</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896,387.00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2,200,506.84</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8,951,888.40</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IX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2,652,839.35</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10,006</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3,602,160.00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809,140.00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3,793,242.35</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4,602,382.35</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10,857,381.70</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X</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237,377.00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8,637</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3,109,320.00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6,195,576.80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28,928,315.92</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35,123,892.72</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38,470,589.72</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XI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3,028,750.00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30,704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11,096,425.60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3,163,200.00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10,768,720.09</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13,931,920.09</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28,057,095.69</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XII</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3,000,701.68</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4,724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1,894,324.00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3,484,211.10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866,517.26</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4,350,728.36</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9,245,754.04</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CARAGA</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3,000,000.00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10,631</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4,038,389.50</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194,954.00</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4,771,072.70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4,966,026.70</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12,004,416.20</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NCR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3,292,543.50</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5,484</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2,052,190.36</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1,162,526.29</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1,038,066.00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2,200,592.29</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7,545,326.15</w:t>
            </w:r>
          </w:p>
        </w:tc>
      </w:tr>
      <w:tr w:rsidR="00777249" w:rsidRPr="00460385" w:rsidTr="00777249">
        <w:trPr>
          <w:trHeight w:val="315"/>
        </w:trPr>
        <w:tc>
          <w:tcPr>
            <w:tcW w:w="520"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lastRenderedPageBreak/>
              <w:t>CAR</w:t>
            </w:r>
          </w:p>
        </w:tc>
        <w:tc>
          <w:tcPr>
            <w:tcW w:w="587"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2,691,805.95</w:t>
            </w:r>
          </w:p>
        </w:tc>
        <w:tc>
          <w:tcPr>
            <w:tcW w:w="31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14,997</w:t>
            </w:r>
          </w:p>
        </w:tc>
        <w:tc>
          <w:tcPr>
            <w:tcW w:w="528"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5,606,163.44</w:t>
            </w:r>
          </w:p>
        </w:tc>
        <w:tc>
          <w:tcPr>
            <w:tcW w:w="59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5,415,927.56</w:t>
            </w:r>
          </w:p>
        </w:tc>
        <w:tc>
          <w:tcPr>
            <w:tcW w:w="53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4,902,977.40</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10,318,904.96</w:t>
            </w:r>
          </w:p>
        </w:tc>
        <w:tc>
          <w:tcPr>
            <w:tcW w:w="99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77249" w:rsidRPr="00777249" w:rsidRDefault="00777249" w:rsidP="00777249">
            <w:pPr>
              <w:rPr>
                <w:rFonts w:ascii="Arial Narrow" w:hAnsi="Arial Narrow"/>
                <w:sz w:val="20"/>
                <w:szCs w:val="20"/>
              </w:rPr>
            </w:pPr>
            <w:r w:rsidRPr="00777249">
              <w:rPr>
                <w:rFonts w:ascii="Arial Narrow" w:hAnsi="Arial Narrow"/>
                <w:sz w:val="20"/>
                <w:szCs w:val="20"/>
              </w:rPr>
              <w:t>18,616,874.35</w:t>
            </w:r>
          </w:p>
        </w:tc>
      </w:tr>
    </w:tbl>
    <w:p w:rsidR="004C5385" w:rsidRPr="00775377"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777249">
        <w:rPr>
          <w:rFonts w:ascii="Arial" w:hAnsi="Arial" w:cs="Arial"/>
          <w:i/>
          <w:sz w:val="20"/>
          <w:szCs w:val="24"/>
        </w:rPr>
        <w:t>22 August</w:t>
      </w:r>
      <w:r>
        <w:rPr>
          <w:rFonts w:ascii="Arial" w:hAnsi="Arial" w:cs="Arial"/>
          <w:i/>
          <w:sz w:val="20"/>
          <w:szCs w:val="24"/>
        </w:rPr>
        <w:t xml:space="preserve"> </w:t>
      </w:r>
      <w:r w:rsidR="00D700D1" w:rsidRPr="00D700D1">
        <w:rPr>
          <w:rFonts w:ascii="Arial" w:hAnsi="Arial" w:cs="Arial"/>
          <w:i/>
          <w:sz w:val="20"/>
          <w:szCs w:val="24"/>
        </w:rPr>
        <w:t>2019</w:t>
      </w:r>
    </w:p>
    <w:p w:rsidR="00777249" w:rsidRDefault="00777249" w:rsidP="00816A95">
      <w:pPr>
        <w:pStyle w:val="Heading1"/>
        <w:spacing w:before="0" w:after="0"/>
        <w:contextualSpacing/>
        <w:rPr>
          <w:rFonts w:ascii="Arial" w:hAnsi="Arial" w:cs="Arial"/>
          <w:color w:val="002060"/>
          <w:sz w:val="28"/>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777249" w:rsidP="0077724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23</w:t>
            </w:r>
            <w:r w:rsidR="00454E8A" w:rsidRPr="007412EE">
              <w:rPr>
                <w:rFonts w:ascii="Arial" w:eastAsia="Arial" w:hAnsi="Arial" w:cs="Arial"/>
                <w:color w:val="0070C0"/>
                <w:sz w:val="24"/>
                <w:szCs w:val="24"/>
              </w:rPr>
              <w:t xml:space="preserve"> </w:t>
            </w:r>
            <w:r>
              <w:rPr>
                <w:rFonts w:ascii="Arial" w:eastAsia="Arial" w:hAnsi="Arial" w:cs="Arial"/>
                <w:color w:val="0070C0"/>
                <w:sz w:val="24"/>
                <w:szCs w:val="24"/>
              </w:rPr>
              <w:t>August</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904E27" w:rsidRDefault="00904E27" w:rsidP="00816A95">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C36108"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C36108"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6C7266" w:rsidRDefault="00777249" w:rsidP="006C7266">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6C7266">
              <w:rPr>
                <w:rFonts w:ascii="Arial" w:hAnsi="Arial" w:cs="Arial"/>
                <w:color w:val="0070C0"/>
                <w:sz w:val="24"/>
                <w:szCs w:val="24"/>
              </w:rPr>
              <w:t>August</w:t>
            </w:r>
            <w:r w:rsidR="00C36108" w:rsidRPr="006C7266">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7249" w:rsidRDefault="00C36108" w:rsidP="00777249">
            <w:pPr>
              <w:pStyle w:val="ListParagraph"/>
              <w:numPr>
                <w:ilvl w:val="0"/>
                <w:numId w:val="1"/>
              </w:numPr>
              <w:spacing w:after="0" w:line="240" w:lineRule="auto"/>
              <w:ind w:left="319"/>
              <w:jc w:val="both"/>
              <w:rPr>
                <w:rFonts w:ascii="Arial" w:eastAsia="Arial" w:hAnsi="Arial" w:cs="Arial"/>
                <w:color w:val="0070C0"/>
                <w:sz w:val="24"/>
                <w:szCs w:val="24"/>
              </w:rPr>
            </w:pPr>
            <w:r>
              <w:rPr>
                <w:rFonts w:ascii="Arial" w:eastAsia="Arial" w:hAnsi="Arial" w:cs="Arial"/>
                <w:color w:val="0070C0"/>
                <w:sz w:val="24"/>
                <w:szCs w:val="24"/>
              </w:rPr>
              <w:t xml:space="preserve">The Disaster Response Management Division (DRMD) staff of </w:t>
            </w:r>
            <w:r w:rsidRPr="00BE43F3">
              <w:rPr>
                <w:rFonts w:ascii="Arial" w:eastAsia="Arial" w:hAnsi="Arial" w:cs="Arial"/>
                <w:color w:val="0070C0"/>
                <w:sz w:val="24"/>
                <w:szCs w:val="24"/>
              </w:rPr>
              <w:t xml:space="preserve">DSWD-FO </w:t>
            </w:r>
            <w:r>
              <w:rPr>
                <w:rFonts w:ascii="Arial" w:eastAsia="Arial" w:hAnsi="Arial" w:cs="Arial"/>
                <w:color w:val="0070C0"/>
                <w:sz w:val="24"/>
                <w:szCs w:val="24"/>
              </w:rPr>
              <w:t>I</w:t>
            </w:r>
            <w:r w:rsidR="00777249">
              <w:rPr>
                <w:rFonts w:ascii="Arial" w:eastAsia="Arial" w:hAnsi="Arial" w:cs="Arial"/>
                <w:color w:val="0070C0"/>
                <w:sz w:val="24"/>
                <w:szCs w:val="24"/>
              </w:rPr>
              <w:t xml:space="preserve"> </w:t>
            </w:r>
            <w:r w:rsidR="00777249" w:rsidRPr="00777249">
              <w:rPr>
                <w:rFonts w:ascii="Arial" w:eastAsia="Arial" w:hAnsi="Arial" w:cs="Arial"/>
                <w:color w:val="0070C0"/>
                <w:sz w:val="24"/>
                <w:szCs w:val="24"/>
              </w:rPr>
              <w:t>staff are monitoring</w:t>
            </w:r>
            <w:r w:rsidR="00777249">
              <w:rPr>
                <w:rFonts w:ascii="Arial" w:eastAsia="Arial" w:hAnsi="Arial" w:cs="Arial"/>
                <w:color w:val="0070C0"/>
                <w:sz w:val="24"/>
                <w:szCs w:val="24"/>
              </w:rPr>
              <w:t xml:space="preserve"> </w:t>
            </w:r>
            <w:r w:rsidR="00777249" w:rsidRPr="00777249">
              <w:rPr>
                <w:rFonts w:ascii="Arial" w:eastAsia="Arial" w:hAnsi="Arial" w:cs="Arial"/>
                <w:color w:val="0070C0"/>
                <w:sz w:val="24"/>
                <w:szCs w:val="24"/>
              </w:rPr>
              <w:t>the possible effects o</w:t>
            </w:r>
            <w:r w:rsidR="00777249">
              <w:rPr>
                <w:rFonts w:ascii="Arial" w:eastAsia="Arial" w:hAnsi="Arial" w:cs="Arial"/>
                <w:color w:val="0070C0"/>
                <w:sz w:val="24"/>
                <w:szCs w:val="24"/>
              </w:rPr>
              <w:t>f the current weather condition</w:t>
            </w:r>
          </w:p>
          <w:p w:rsidR="00C36108" w:rsidRPr="00777249" w:rsidRDefault="00777249" w:rsidP="00777249">
            <w:pPr>
              <w:pStyle w:val="ListParagraph"/>
              <w:numPr>
                <w:ilvl w:val="0"/>
                <w:numId w:val="1"/>
              </w:numPr>
              <w:spacing w:after="0" w:line="240" w:lineRule="auto"/>
              <w:ind w:left="319"/>
              <w:jc w:val="both"/>
              <w:rPr>
                <w:rFonts w:ascii="Arial" w:eastAsia="Arial" w:hAnsi="Arial" w:cs="Arial"/>
                <w:color w:val="0070C0"/>
                <w:sz w:val="24"/>
                <w:szCs w:val="24"/>
              </w:rPr>
            </w:pPr>
            <w:r w:rsidRPr="00777249">
              <w:rPr>
                <w:rFonts w:ascii="Arial" w:eastAsia="Arial" w:hAnsi="Arial" w:cs="Arial"/>
                <w:color w:val="0070C0"/>
                <w:sz w:val="24"/>
                <w:szCs w:val="24"/>
              </w:rPr>
              <w:t>Provincial</w:t>
            </w:r>
            <w:r>
              <w:rPr>
                <w:rFonts w:ascii="Arial" w:eastAsia="Arial" w:hAnsi="Arial" w:cs="Arial"/>
                <w:color w:val="0070C0"/>
                <w:sz w:val="24"/>
                <w:szCs w:val="24"/>
              </w:rPr>
              <w:t xml:space="preserve"> </w:t>
            </w:r>
            <w:r w:rsidRPr="00777249">
              <w:rPr>
                <w:rFonts w:ascii="Arial" w:eastAsia="Arial" w:hAnsi="Arial" w:cs="Arial"/>
                <w:color w:val="0070C0"/>
                <w:sz w:val="24"/>
                <w:szCs w:val="24"/>
              </w:rPr>
              <w:t>Operations Offices (POOs) in close coordination with the different</w:t>
            </w:r>
            <w:r>
              <w:rPr>
                <w:rFonts w:ascii="Arial" w:eastAsia="Arial" w:hAnsi="Arial" w:cs="Arial"/>
                <w:color w:val="0070C0"/>
                <w:sz w:val="24"/>
                <w:szCs w:val="24"/>
              </w:rPr>
              <w:t xml:space="preserve"> </w:t>
            </w:r>
            <w:r w:rsidRPr="00777249">
              <w:rPr>
                <w:rFonts w:ascii="Arial" w:eastAsia="Arial" w:hAnsi="Arial" w:cs="Arial"/>
                <w:color w:val="0070C0"/>
                <w:sz w:val="24"/>
                <w:szCs w:val="24"/>
              </w:rPr>
              <w:t>Provincial/City/Municipal Disaster Risk Reduction and Management Councils</w:t>
            </w:r>
            <w:r>
              <w:rPr>
                <w:rFonts w:ascii="Arial" w:eastAsia="Arial" w:hAnsi="Arial" w:cs="Arial"/>
                <w:color w:val="0070C0"/>
                <w:sz w:val="24"/>
                <w:szCs w:val="24"/>
              </w:rPr>
              <w:t xml:space="preserve"> </w:t>
            </w:r>
            <w:r w:rsidRPr="00777249">
              <w:rPr>
                <w:rFonts w:ascii="Arial" w:eastAsia="Arial" w:hAnsi="Arial" w:cs="Arial"/>
                <w:color w:val="0070C0"/>
                <w:sz w:val="24"/>
                <w:szCs w:val="24"/>
              </w:rPr>
              <w:t>(P/C/MDRRMCs) and Provincial/City/Municipal Social Welfare and</w:t>
            </w:r>
            <w:r>
              <w:rPr>
                <w:rFonts w:ascii="Arial" w:eastAsia="Arial" w:hAnsi="Arial" w:cs="Arial"/>
                <w:color w:val="0070C0"/>
                <w:sz w:val="24"/>
                <w:szCs w:val="24"/>
              </w:rPr>
              <w:t xml:space="preserve"> </w:t>
            </w:r>
            <w:r w:rsidRPr="00777249">
              <w:rPr>
                <w:rFonts w:ascii="Arial" w:eastAsia="Arial" w:hAnsi="Arial" w:cs="Arial"/>
                <w:color w:val="0070C0"/>
                <w:sz w:val="24"/>
                <w:szCs w:val="24"/>
              </w:rPr>
              <w:t>Development Offices (P/C/MSWDOs) are currently monitoring the adverse</w:t>
            </w:r>
            <w:r>
              <w:rPr>
                <w:rFonts w:ascii="Arial" w:eastAsia="Arial" w:hAnsi="Arial" w:cs="Arial"/>
                <w:color w:val="0070C0"/>
                <w:sz w:val="24"/>
                <w:szCs w:val="24"/>
              </w:rPr>
              <w:t xml:space="preserve"> </w:t>
            </w:r>
            <w:r w:rsidRPr="00777249">
              <w:rPr>
                <w:rFonts w:ascii="Arial" w:eastAsia="Arial" w:hAnsi="Arial" w:cs="Arial"/>
                <w:color w:val="0070C0"/>
                <w:sz w:val="24"/>
                <w:szCs w:val="24"/>
              </w:rPr>
              <w:t>effect that might be brought by the weather disturbance.</w:t>
            </w:r>
          </w:p>
        </w:tc>
      </w:tr>
    </w:tbl>
    <w:p w:rsidR="00202201" w:rsidRDefault="00202201" w:rsidP="00816A95">
      <w:pPr>
        <w:spacing w:after="0" w:line="240" w:lineRule="auto"/>
        <w:contextualSpacing/>
        <w:rPr>
          <w:rFonts w:ascii="Arial" w:eastAsia="Arial" w:hAnsi="Arial" w:cs="Arial"/>
          <w:b/>
          <w:sz w:val="24"/>
          <w:szCs w:val="24"/>
        </w:rPr>
      </w:pPr>
    </w:p>
    <w:p w:rsidR="00202201" w:rsidRDefault="00202201" w:rsidP="00202201">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202201" w:rsidRPr="00BE43F9" w:rsidTr="00D07EE4">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201" w:rsidRPr="00BE43F9" w:rsidRDefault="00202201" w:rsidP="00D07E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201" w:rsidRPr="00BE43F9" w:rsidRDefault="00202201" w:rsidP="00D07EE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202201" w:rsidRPr="00BE43F9" w:rsidTr="00D07EE4">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201" w:rsidRPr="00202201" w:rsidRDefault="00202201" w:rsidP="00202201">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202201">
              <w:rPr>
                <w:rFonts w:ascii="Arial" w:hAnsi="Arial" w:cs="Arial"/>
                <w:color w:val="0070C0"/>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02201" w:rsidRPr="00202201" w:rsidRDefault="00202201" w:rsidP="00202201">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 xml:space="preserve">The </w:t>
            </w:r>
            <w:r w:rsidRPr="00BE43F3">
              <w:rPr>
                <w:rFonts w:ascii="Arial" w:eastAsia="Arial" w:hAnsi="Arial" w:cs="Arial"/>
                <w:color w:val="0070C0"/>
                <w:sz w:val="24"/>
                <w:szCs w:val="24"/>
              </w:rPr>
              <w:t xml:space="preserve">DSWD-FO </w:t>
            </w:r>
            <w:r>
              <w:rPr>
                <w:rFonts w:ascii="Arial" w:eastAsia="Arial" w:hAnsi="Arial" w:cs="Arial"/>
                <w:color w:val="0070C0"/>
                <w:sz w:val="24"/>
                <w:szCs w:val="24"/>
              </w:rPr>
              <w:t xml:space="preserve">II attended </w:t>
            </w:r>
            <w:r w:rsidRPr="00202201">
              <w:rPr>
                <w:rFonts w:ascii="Arial" w:eastAsia="Arial" w:hAnsi="Arial" w:cs="Arial"/>
                <w:color w:val="0070C0"/>
                <w:sz w:val="24"/>
                <w:szCs w:val="24"/>
              </w:rPr>
              <w:t>Pre-Disaster Risk Assessment (P</w:t>
            </w:r>
            <w:r>
              <w:rPr>
                <w:rFonts w:ascii="Arial" w:eastAsia="Arial" w:hAnsi="Arial" w:cs="Arial"/>
                <w:color w:val="0070C0"/>
                <w:sz w:val="24"/>
                <w:szCs w:val="24"/>
              </w:rPr>
              <w:t>D</w:t>
            </w:r>
            <w:r w:rsidRPr="00202201">
              <w:rPr>
                <w:rFonts w:ascii="Arial" w:eastAsia="Arial" w:hAnsi="Arial" w:cs="Arial"/>
                <w:color w:val="0070C0"/>
                <w:sz w:val="24"/>
                <w:szCs w:val="24"/>
              </w:rPr>
              <w:t>RA) Meeting</w:t>
            </w:r>
            <w:r>
              <w:rPr>
                <w:rFonts w:ascii="Arial" w:eastAsia="Arial" w:hAnsi="Arial" w:cs="Arial"/>
                <w:color w:val="0070C0"/>
                <w:sz w:val="24"/>
                <w:szCs w:val="24"/>
              </w:rPr>
              <w:t xml:space="preserve"> </w:t>
            </w:r>
            <w:r w:rsidRPr="00202201">
              <w:rPr>
                <w:rFonts w:ascii="Arial" w:eastAsia="Arial" w:hAnsi="Arial" w:cs="Arial"/>
                <w:color w:val="0070C0"/>
                <w:sz w:val="24"/>
                <w:szCs w:val="24"/>
              </w:rPr>
              <w:t>at the Office</w:t>
            </w:r>
            <w:r>
              <w:rPr>
                <w:rFonts w:ascii="Arial" w:eastAsia="Arial" w:hAnsi="Arial" w:cs="Arial"/>
                <w:color w:val="0070C0"/>
                <w:sz w:val="24"/>
                <w:szCs w:val="24"/>
              </w:rPr>
              <w:t xml:space="preserve"> </w:t>
            </w:r>
            <w:r w:rsidRPr="00202201">
              <w:rPr>
                <w:rFonts w:ascii="Arial" w:eastAsia="Arial" w:hAnsi="Arial" w:cs="Arial"/>
                <w:color w:val="0070C0"/>
                <w:sz w:val="24"/>
                <w:szCs w:val="24"/>
              </w:rPr>
              <w:t>of Civil Defense (OCD) Regional Office</w:t>
            </w:r>
            <w:r>
              <w:rPr>
                <w:rFonts w:ascii="Arial" w:eastAsia="Arial" w:hAnsi="Arial" w:cs="Arial"/>
                <w:color w:val="0070C0"/>
                <w:sz w:val="24"/>
                <w:szCs w:val="24"/>
              </w:rPr>
              <w:t xml:space="preserve"> </w:t>
            </w:r>
            <w:r w:rsidR="00A06F38">
              <w:rPr>
                <w:rFonts w:ascii="Arial" w:eastAsia="Arial" w:hAnsi="Arial" w:cs="Arial"/>
                <w:color w:val="0070C0"/>
                <w:sz w:val="24"/>
                <w:szCs w:val="24"/>
              </w:rPr>
              <w:t>for Tropical Storm “INENG”.</w:t>
            </w:r>
          </w:p>
        </w:tc>
      </w:tr>
    </w:tbl>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765540" w:rsidRDefault="006C7266" w:rsidP="006C7266">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765540">
              <w:rPr>
                <w:rFonts w:ascii="Arial" w:hAnsi="Arial" w:cs="Arial"/>
                <w:color w:val="0070C0"/>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Pr="00765540" w:rsidRDefault="004B7668"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 xml:space="preserve">DSWD-FO </w:t>
            </w:r>
            <w:r w:rsidR="00F67130" w:rsidRPr="00765540">
              <w:rPr>
                <w:rFonts w:ascii="Arial" w:eastAsia="Arial" w:hAnsi="Arial" w:cs="Arial"/>
                <w:color w:val="0070C0"/>
                <w:sz w:val="24"/>
                <w:szCs w:val="24"/>
              </w:rPr>
              <w:t>MIMAROPA</w:t>
            </w:r>
            <w:r w:rsidR="000D3D3E" w:rsidRPr="00765540">
              <w:rPr>
                <w:rFonts w:ascii="Arial" w:eastAsia="Arial" w:hAnsi="Arial" w:cs="Arial"/>
                <w:color w:val="0070C0"/>
                <w:sz w:val="24"/>
                <w:szCs w:val="24"/>
              </w:rPr>
              <w:t xml:space="preserve"> through </w:t>
            </w:r>
            <w:r w:rsidR="008C5268" w:rsidRPr="00765540">
              <w:rPr>
                <w:rFonts w:ascii="Arial" w:eastAsia="Arial" w:hAnsi="Arial" w:cs="Arial"/>
                <w:color w:val="0070C0"/>
                <w:sz w:val="24"/>
                <w:szCs w:val="24"/>
              </w:rPr>
              <w:t xml:space="preserve">the </w:t>
            </w:r>
            <w:r w:rsidR="000D3D3E" w:rsidRPr="00765540">
              <w:rPr>
                <w:rFonts w:ascii="Arial" w:eastAsia="Arial" w:hAnsi="Arial" w:cs="Arial"/>
                <w:color w:val="0070C0"/>
                <w:sz w:val="24"/>
                <w:szCs w:val="24"/>
              </w:rPr>
              <w:t xml:space="preserve">Disaster Response Management Division </w:t>
            </w:r>
            <w:r w:rsidR="008C5268" w:rsidRPr="00765540">
              <w:rPr>
                <w:rFonts w:ascii="Arial" w:eastAsia="Arial" w:hAnsi="Arial" w:cs="Arial"/>
                <w:color w:val="0070C0"/>
                <w:sz w:val="24"/>
                <w:szCs w:val="24"/>
              </w:rPr>
              <w:t>ensures an on-</w:t>
            </w:r>
            <w:r w:rsidR="00F67130" w:rsidRPr="00765540">
              <w:rPr>
                <w:rFonts w:ascii="Arial" w:eastAsia="Arial" w:hAnsi="Arial" w:cs="Arial"/>
                <w:color w:val="0070C0"/>
                <w:sz w:val="24"/>
                <w:szCs w:val="24"/>
              </w:rPr>
              <w:t xml:space="preserve">call and standby duty </w:t>
            </w:r>
            <w:r w:rsidR="008C5268" w:rsidRPr="00765540">
              <w:rPr>
                <w:rFonts w:ascii="Arial" w:eastAsia="Arial" w:hAnsi="Arial" w:cs="Arial"/>
                <w:color w:val="0070C0"/>
                <w:sz w:val="24"/>
                <w:szCs w:val="24"/>
              </w:rPr>
              <w:t xml:space="preserve">of the R/P/C/M Quick Response Teams </w:t>
            </w:r>
            <w:r w:rsidR="00814CFB" w:rsidRPr="00765540">
              <w:rPr>
                <w:rFonts w:ascii="Arial" w:eastAsia="Arial" w:hAnsi="Arial" w:cs="Arial"/>
                <w:color w:val="0070C0"/>
                <w:sz w:val="24"/>
                <w:szCs w:val="24"/>
              </w:rPr>
              <w:t>for possible activation of Operations Center.</w:t>
            </w:r>
          </w:p>
          <w:p w:rsidR="00814CFB" w:rsidRPr="00765540" w:rsidRDefault="00814CFB"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All members of Rapid Emergency Telecommunications Team are on standby status ready for deployment if needed.</w:t>
            </w:r>
          </w:p>
          <w:p w:rsidR="00814CFB" w:rsidRPr="00765540" w:rsidRDefault="000D3D3E"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DSWD-FO MIMAROPA</w:t>
            </w:r>
            <w:r w:rsidR="00814CFB" w:rsidRPr="00765540">
              <w:rPr>
                <w:rFonts w:ascii="Arial" w:eastAsia="Arial" w:hAnsi="Arial" w:cs="Arial"/>
                <w:color w:val="0070C0"/>
                <w:sz w:val="24"/>
                <w:szCs w:val="24"/>
              </w:rPr>
              <w:t xml:space="preserve"> ensures that relief goods are readily available for distribution.</w:t>
            </w:r>
          </w:p>
          <w:p w:rsidR="000D3D3E" w:rsidRPr="00765540" w:rsidRDefault="00814CFB" w:rsidP="000103C6">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DSWD-FO MIMAROPA</w:t>
            </w:r>
            <w:r w:rsidR="000D3D3E" w:rsidRPr="00765540">
              <w:rPr>
                <w:rFonts w:ascii="Arial" w:eastAsia="Arial" w:hAnsi="Arial" w:cs="Arial"/>
                <w:color w:val="0070C0"/>
                <w:sz w:val="24"/>
                <w:szCs w:val="24"/>
              </w:rPr>
              <w:t xml:space="preserve"> is </w:t>
            </w:r>
            <w:r w:rsidRPr="00765540">
              <w:rPr>
                <w:rFonts w:ascii="Arial" w:eastAsia="Arial" w:hAnsi="Arial" w:cs="Arial"/>
                <w:color w:val="0070C0"/>
                <w:sz w:val="24"/>
                <w:szCs w:val="24"/>
              </w:rPr>
              <w:t xml:space="preserve">in </w:t>
            </w:r>
            <w:r w:rsidR="000D3D3E" w:rsidRPr="00765540">
              <w:rPr>
                <w:rFonts w:ascii="Arial" w:eastAsia="Arial" w:hAnsi="Arial" w:cs="Arial"/>
                <w:color w:val="0070C0"/>
                <w:sz w:val="24"/>
                <w:szCs w:val="24"/>
              </w:rPr>
              <w:t>close coordination with the Office of Civil Defense (OCD) and RDRRMC MIMAROPA for</w:t>
            </w:r>
            <w:r w:rsidRPr="00765540">
              <w:rPr>
                <w:rFonts w:ascii="Arial" w:eastAsia="Arial" w:hAnsi="Arial" w:cs="Arial"/>
                <w:color w:val="0070C0"/>
                <w:sz w:val="24"/>
                <w:szCs w:val="24"/>
              </w:rPr>
              <w:t xml:space="preserve"> any warning signal updates in </w:t>
            </w:r>
            <w:r w:rsidR="000D3D3E" w:rsidRPr="00765540">
              <w:rPr>
                <w:rFonts w:ascii="Arial" w:eastAsia="Arial" w:hAnsi="Arial" w:cs="Arial"/>
                <w:color w:val="0070C0"/>
                <w:sz w:val="24"/>
                <w:szCs w:val="24"/>
              </w:rPr>
              <w:t xml:space="preserve">response </w:t>
            </w:r>
            <w:r w:rsidRPr="00765540">
              <w:rPr>
                <w:rFonts w:ascii="Arial" w:eastAsia="Arial" w:hAnsi="Arial" w:cs="Arial"/>
                <w:color w:val="0070C0"/>
                <w:sz w:val="24"/>
                <w:szCs w:val="24"/>
              </w:rPr>
              <w:t xml:space="preserve">to the </w:t>
            </w:r>
            <w:r w:rsidR="000D3D3E" w:rsidRPr="00765540">
              <w:rPr>
                <w:rFonts w:ascii="Arial" w:eastAsia="Arial" w:hAnsi="Arial" w:cs="Arial"/>
                <w:color w:val="0070C0"/>
                <w:sz w:val="24"/>
                <w:szCs w:val="24"/>
              </w:rPr>
              <w:t>areas that will be affected.</w:t>
            </w:r>
          </w:p>
        </w:tc>
      </w:tr>
    </w:tbl>
    <w:p w:rsidR="004B7D82" w:rsidRDefault="004B7D82"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E936A9" w:rsidRDefault="00E936A9" w:rsidP="00E936A9">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hAnsi="Arial" w:cs="Arial"/>
                <w:color w:val="0070C0"/>
                <w:sz w:val="24"/>
                <w:szCs w:val="24"/>
              </w:rPr>
              <w:t>August</w:t>
            </w:r>
            <w:r w:rsidR="000D3D3E" w:rsidRPr="00E936A9">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7D82" w:rsidRPr="004B7D82" w:rsidRDefault="004B7D82" w:rsidP="004B7D82">
            <w:pPr>
              <w:pStyle w:val="ListParagraph"/>
              <w:numPr>
                <w:ilvl w:val="0"/>
                <w:numId w:val="1"/>
              </w:numPr>
              <w:spacing w:after="0" w:line="240" w:lineRule="auto"/>
              <w:ind w:left="323"/>
              <w:jc w:val="both"/>
              <w:rPr>
                <w:rFonts w:ascii="Arial" w:eastAsia="Arial" w:hAnsi="Arial" w:cs="Arial"/>
                <w:color w:val="0070C0"/>
                <w:sz w:val="24"/>
                <w:szCs w:val="24"/>
              </w:rPr>
            </w:pPr>
            <w:r w:rsidRPr="004B7D82">
              <w:rPr>
                <w:rFonts w:ascii="Arial" w:eastAsia="Arial" w:hAnsi="Arial" w:cs="Arial"/>
                <w:color w:val="0070C0"/>
                <w:sz w:val="24"/>
                <w:szCs w:val="24"/>
              </w:rPr>
              <w:t>DSWD FO V QRTs were alerted and advised to be prepared for augmentation support needed from the field and/or 24/7 duty at the DRMD Operation Center.</w:t>
            </w:r>
          </w:p>
          <w:p w:rsidR="004B7D82" w:rsidRPr="004B7D82" w:rsidRDefault="004B7D82" w:rsidP="004B7D82">
            <w:pPr>
              <w:pStyle w:val="ListParagraph"/>
              <w:numPr>
                <w:ilvl w:val="0"/>
                <w:numId w:val="1"/>
              </w:numPr>
              <w:spacing w:after="0" w:line="240" w:lineRule="auto"/>
              <w:ind w:left="323"/>
              <w:jc w:val="both"/>
              <w:rPr>
                <w:rFonts w:ascii="Arial" w:eastAsia="Arial" w:hAnsi="Arial" w:cs="Arial"/>
                <w:color w:val="0070C0"/>
                <w:sz w:val="24"/>
                <w:szCs w:val="24"/>
              </w:rPr>
            </w:pPr>
            <w:r w:rsidRPr="004B7D82">
              <w:rPr>
                <w:rFonts w:ascii="Arial" w:eastAsia="Arial" w:hAnsi="Arial" w:cs="Arial"/>
                <w:color w:val="0070C0"/>
                <w:sz w:val="24"/>
                <w:szCs w:val="24"/>
              </w:rPr>
              <w:t>PAT and MAT members in the 6 provinces are on standby and were instructed to coordinate with the P/MDRRMOs for status reports and updates.</w:t>
            </w:r>
          </w:p>
        </w:tc>
      </w:tr>
    </w:tbl>
    <w:p w:rsidR="00E936A9" w:rsidRDefault="00E936A9"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E936A9">
        <w:rPr>
          <w:rFonts w:ascii="Arial" w:eastAsia="Arial" w:hAnsi="Arial" w:cs="Arial"/>
          <w:b/>
          <w:sz w:val="24"/>
          <w:szCs w:val="24"/>
        </w:rPr>
        <w:t>VIII</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C421A3" w:rsidRDefault="00C421A3" w:rsidP="00C421A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C421A3">
              <w:rPr>
                <w:rFonts w:ascii="Arial" w:hAnsi="Arial" w:cs="Arial"/>
                <w:color w:val="0070C0"/>
                <w:sz w:val="24"/>
                <w:szCs w:val="24"/>
              </w:rPr>
              <w:t>August</w:t>
            </w:r>
            <w:r w:rsidR="000D3D3E" w:rsidRPr="00C421A3">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64A6" w:rsidRPr="00C421A3" w:rsidRDefault="000D3D3E"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 xml:space="preserve">DSWD-FO </w:t>
            </w:r>
            <w:r w:rsidR="00E936A9" w:rsidRPr="00C421A3">
              <w:rPr>
                <w:rFonts w:ascii="Arial" w:eastAsia="Arial" w:hAnsi="Arial" w:cs="Arial"/>
                <w:color w:val="0070C0"/>
                <w:sz w:val="24"/>
                <w:szCs w:val="24"/>
              </w:rPr>
              <w:t xml:space="preserve">VIII </w:t>
            </w:r>
            <w:r w:rsidR="00C421A3" w:rsidRPr="00C421A3">
              <w:rPr>
                <w:rFonts w:ascii="Arial" w:eastAsia="Arial" w:hAnsi="Arial" w:cs="Arial"/>
                <w:color w:val="0070C0"/>
                <w:sz w:val="24"/>
                <w:szCs w:val="24"/>
              </w:rPr>
              <w:t>is in in close coordination with SWADTs, QRTs and PDOs for any eventualities on the ground.</w:t>
            </w:r>
          </w:p>
          <w:p w:rsidR="00C421A3" w:rsidRPr="00C421A3" w:rsidRDefault="00C421A3"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All Quick Response Team (QRT) members and Disaster Response Management Division (DRMD) are alerted in case augmentation of workforce is needed.</w:t>
            </w:r>
          </w:p>
          <w:p w:rsidR="00C421A3" w:rsidRPr="00C421A3" w:rsidRDefault="00C421A3"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Regional Resource Operation Section (RROS) are also alerted to ensure the readiness of dispatching the Food and Non-Food commodities whenever needed.</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w:t>
      </w:r>
      <w:r w:rsidR="005670D1">
        <w:rPr>
          <w:rFonts w:ascii="Arial" w:eastAsia="Arial" w:hAnsi="Arial" w:cs="Arial"/>
          <w:i/>
          <w:sz w:val="20"/>
          <w:szCs w:val="20"/>
        </w:rPr>
        <w:t>S</w:t>
      </w:r>
      <w:r w:rsidR="00B14C94">
        <w:rPr>
          <w:rFonts w:ascii="Arial" w:eastAsia="Arial" w:hAnsi="Arial" w:cs="Arial"/>
          <w:i/>
          <w:sz w:val="20"/>
          <w:szCs w:val="20"/>
        </w:rPr>
        <w:t xml:space="preserve"> </w:t>
      </w:r>
      <w:proofErr w:type="spellStart"/>
      <w:r w:rsidR="005670D1">
        <w:rPr>
          <w:rFonts w:ascii="Arial" w:eastAsia="Arial" w:hAnsi="Arial" w:cs="Arial"/>
          <w:i/>
          <w:sz w:val="20"/>
          <w:szCs w:val="20"/>
        </w:rPr>
        <w:t>Ineng</w:t>
      </w:r>
      <w:proofErr w:type="spellEnd"/>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lastRenderedPageBreak/>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C33BEB"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6A" w:rsidRDefault="005B386A">
      <w:pPr>
        <w:spacing w:after="0" w:line="240" w:lineRule="auto"/>
      </w:pPr>
      <w:r>
        <w:separator/>
      </w:r>
    </w:p>
  </w:endnote>
  <w:endnote w:type="continuationSeparator" w:id="0">
    <w:p w:rsidR="005B386A" w:rsidRDefault="005B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3D796E">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63B7E">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63B7E">
      <w:rPr>
        <w:b/>
        <w:noProof/>
        <w:sz w:val="16"/>
        <w:szCs w:val="16"/>
      </w:rPr>
      <w:t>7</w:t>
    </w:r>
    <w:r>
      <w:rPr>
        <w:b/>
        <w:sz w:val="16"/>
        <w:szCs w:val="16"/>
      </w:rPr>
      <w:fldChar w:fldCharType="end"/>
    </w:r>
    <w:r>
      <w:rPr>
        <w:sz w:val="16"/>
        <w:szCs w:val="16"/>
      </w:rPr>
      <w:t xml:space="preserve">| </w:t>
    </w:r>
    <w:r w:rsidR="003D796E" w:rsidRPr="003D796E">
      <w:rPr>
        <w:rFonts w:ascii="Arial" w:eastAsia="Arial" w:hAnsi="Arial" w:cs="Arial"/>
        <w:sz w:val="16"/>
        <w:szCs w:val="16"/>
      </w:rPr>
      <w:t>DSWD DROMIC P</w:t>
    </w:r>
    <w:r w:rsidR="003D796E">
      <w:rPr>
        <w:rFonts w:ascii="Arial" w:eastAsia="Arial" w:hAnsi="Arial" w:cs="Arial"/>
        <w:sz w:val="16"/>
        <w:szCs w:val="16"/>
      </w:rPr>
      <w:t xml:space="preserve">reparedness for Response Report #1 on Tropical Storm "INENG" </w:t>
    </w:r>
    <w:r w:rsidR="003D796E" w:rsidRPr="003D796E">
      <w:rPr>
        <w:rFonts w:ascii="Arial" w:eastAsia="Arial" w:hAnsi="Arial" w:cs="Arial"/>
        <w:sz w:val="16"/>
        <w:szCs w:val="16"/>
      </w:rPr>
      <w:t>as of 23 August 2019, 4PM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6A" w:rsidRDefault="005B386A">
      <w:pPr>
        <w:spacing w:after="0" w:line="240" w:lineRule="auto"/>
      </w:pPr>
      <w:r>
        <w:separator/>
      </w:r>
    </w:p>
  </w:footnote>
  <w:footnote w:type="continuationSeparator" w:id="0">
    <w:p w:rsidR="005B386A" w:rsidRDefault="005B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D5215FC"/>
    <w:multiLevelType w:val="hybridMultilevel"/>
    <w:tmpl w:val="35B026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3"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0"/>
  </w:num>
  <w:num w:numId="5">
    <w:abstractNumId w:val="16"/>
  </w:num>
  <w:num w:numId="6">
    <w:abstractNumId w:val="1"/>
  </w:num>
  <w:num w:numId="7">
    <w:abstractNumId w:val="6"/>
  </w:num>
  <w:num w:numId="8">
    <w:abstractNumId w:val="10"/>
  </w:num>
  <w:num w:numId="9">
    <w:abstractNumId w:val="2"/>
  </w:num>
  <w:num w:numId="10">
    <w:abstractNumId w:val="17"/>
  </w:num>
  <w:num w:numId="11">
    <w:abstractNumId w:val="8"/>
  </w:num>
  <w:num w:numId="12">
    <w:abstractNumId w:val="13"/>
  </w:num>
  <w:num w:numId="13">
    <w:abstractNumId w:val="7"/>
  </w:num>
  <w:num w:numId="14">
    <w:abstractNumId w:val="14"/>
  </w:num>
  <w:num w:numId="15">
    <w:abstractNumId w:val="4"/>
  </w:num>
  <w:num w:numId="16">
    <w:abstractNumId w:val="9"/>
  </w:num>
  <w:num w:numId="17">
    <w:abstractNumId w:val="15"/>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C1F"/>
    <w:rsid w:val="000A1C46"/>
    <w:rsid w:val="000A1FE9"/>
    <w:rsid w:val="000C196B"/>
    <w:rsid w:val="000C6698"/>
    <w:rsid w:val="000D1A9D"/>
    <w:rsid w:val="000D1F4C"/>
    <w:rsid w:val="000D3D3E"/>
    <w:rsid w:val="000E09D8"/>
    <w:rsid w:val="000E381D"/>
    <w:rsid w:val="000F10AC"/>
    <w:rsid w:val="000F1F6C"/>
    <w:rsid w:val="000F3578"/>
    <w:rsid w:val="000F4C6D"/>
    <w:rsid w:val="000F5D46"/>
    <w:rsid w:val="00103A30"/>
    <w:rsid w:val="00110F51"/>
    <w:rsid w:val="00114D5E"/>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47BF"/>
    <w:rsid w:val="002233C1"/>
    <w:rsid w:val="00223D7C"/>
    <w:rsid w:val="00224A0B"/>
    <w:rsid w:val="002338D6"/>
    <w:rsid w:val="00235815"/>
    <w:rsid w:val="0024676B"/>
    <w:rsid w:val="00251556"/>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731A"/>
    <w:rsid w:val="002B045E"/>
    <w:rsid w:val="002B2EC9"/>
    <w:rsid w:val="002C1E7D"/>
    <w:rsid w:val="002C224F"/>
    <w:rsid w:val="002D3418"/>
    <w:rsid w:val="002E25AE"/>
    <w:rsid w:val="002F0FA9"/>
    <w:rsid w:val="002F5178"/>
    <w:rsid w:val="002F713F"/>
    <w:rsid w:val="003052AD"/>
    <w:rsid w:val="00305764"/>
    <w:rsid w:val="003152F8"/>
    <w:rsid w:val="00317493"/>
    <w:rsid w:val="00321421"/>
    <w:rsid w:val="003277B9"/>
    <w:rsid w:val="00331650"/>
    <w:rsid w:val="00341112"/>
    <w:rsid w:val="00342911"/>
    <w:rsid w:val="003478E6"/>
    <w:rsid w:val="00363B7E"/>
    <w:rsid w:val="00364FB5"/>
    <w:rsid w:val="00366D42"/>
    <w:rsid w:val="00376584"/>
    <w:rsid w:val="00377F27"/>
    <w:rsid w:val="00383309"/>
    <w:rsid w:val="00384E5A"/>
    <w:rsid w:val="003870A7"/>
    <w:rsid w:val="00390877"/>
    <w:rsid w:val="00391318"/>
    <w:rsid w:val="00397271"/>
    <w:rsid w:val="003A009A"/>
    <w:rsid w:val="003B1652"/>
    <w:rsid w:val="003B46D8"/>
    <w:rsid w:val="003B524C"/>
    <w:rsid w:val="003B6ADE"/>
    <w:rsid w:val="003C0BF5"/>
    <w:rsid w:val="003C707B"/>
    <w:rsid w:val="003C7DE1"/>
    <w:rsid w:val="003D09A9"/>
    <w:rsid w:val="003D115F"/>
    <w:rsid w:val="003D357A"/>
    <w:rsid w:val="003D4AAB"/>
    <w:rsid w:val="003D4DF7"/>
    <w:rsid w:val="003D7552"/>
    <w:rsid w:val="003D796E"/>
    <w:rsid w:val="003D7A31"/>
    <w:rsid w:val="003E27EE"/>
    <w:rsid w:val="003F0D46"/>
    <w:rsid w:val="003F79ED"/>
    <w:rsid w:val="00402969"/>
    <w:rsid w:val="004033F8"/>
    <w:rsid w:val="00411916"/>
    <w:rsid w:val="004134A7"/>
    <w:rsid w:val="00425689"/>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73A3"/>
    <w:rsid w:val="005101BD"/>
    <w:rsid w:val="0051518E"/>
    <w:rsid w:val="005156DC"/>
    <w:rsid w:val="00515F7A"/>
    <w:rsid w:val="00524A25"/>
    <w:rsid w:val="0053534A"/>
    <w:rsid w:val="00543A35"/>
    <w:rsid w:val="00543D61"/>
    <w:rsid w:val="00544DE0"/>
    <w:rsid w:val="00546DEE"/>
    <w:rsid w:val="00557D52"/>
    <w:rsid w:val="0056425D"/>
    <w:rsid w:val="005670D1"/>
    <w:rsid w:val="00580432"/>
    <w:rsid w:val="00583D8D"/>
    <w:rsid w:val="0059459E"/>
    <w:rsid w:val="00594DB7"/>
    <w:rsid w:val="005A4EFD"/>
    <w:rsid w:val="005B386A"/>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7706B"/>
    <w:rsid w:val="006808AA"/>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3E1"/>
    <w:rsid w:val="006E6AC7"/>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A7E"/>
    <w:rsid w:val="00774B9D"/>
    <w:rsid w:val="00775377"/>
    <w:rsid w:val="00777249"/>
    <w:rsid w:val="0077758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1293"/>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E27AF"/>
    <w:rsid w:val="009F0D31"/>
    <w:rsid w:val="009F1782"/>
    <w:rsid w:val="009F3CA7"/>
    <w:rsid w:val="009F6373"/>
    <w:rsid w:val="00A00B0C"/>
    <w:rsid w:val="00A06659"/>
    <w:rsid w:val="00A06F38"/>
    <w:rsid w:val="00A10651"/>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68F0"/>
    <w:rsid w:val="00C808CE"/>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2211"/>
    <w:rsid w:val="00D278C1"/>
    <w:rsid w:val="00D307D8"/>
    <w:rsid w:val="00D325D1"/>
    <w:rsid w:val="00D368FB"/>
    <w:rsid w:val="00D43941"/>
    <w:rsid w:val="00D46740"/>
    <w:rsid w:val="00D56765"/>
    <w:rsid w:val="00D63FBA"/>
    <w:rsid w:val="00D700D1"/>
    <w:rsid w:val="00D70BDB"/>
    <w:rsid w:val="00D75ED7"/>
    <w:rsid w:val="00D8053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E03166"/>
    <w:rsid w:val="00E060F9"/>
    <w:rsid w:val="00E238AB"/>
    <w:rsid w:val="00E25AF1"/>
    <w:rsid w:val="00E31118"/>
    <w:rsid w:val="00E32DE0"/>
    <w:rsid w:val="00E44A97"/>
    <w:rsid w:val="00E477DA"/>
    <w:rsid w:val="00E47B18"/>
    <w:rsid w:val="00E50999"/>
    <w:rsid w:val="00E5517C"/>
    <w:rsid w:val="00E56A7A"/>
    <w:rsid w:val="00E67372"/>
    <w:rsid w:val="00E67F2F"/>
    <w:rsid w:val="00E72E81"/>
    <w:rsid w:val="00E8358D"/>
    <w:rsid w:val="00E8443D"/>
    <w:rsid w:val="00E86B1E"/>
    <w:rsid w:val="00E90FE4"/>
    <w:rsid w:val="00E936A9"/>
    <w:rsid w:val="00E93808"/>
    <w:rsid w:val="00EA0A6E"/>
    <w:rsid w:val="00EA1D50"/>
    <w:rsid w:val="00EA2336"/>
    <w:rsid w:val="00EA6B39"/>
    <w:rsid w:val="00EB3223"/>
    <w:rsid w:val="00EB32AD"/>
    <w:rsid w:val="00EB48F7"/>
    <w:rsid w:val="00EC077D"/>
    <w:rsid w:val="00EC1B28"/>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CE0"/>
    <w:rsid w:val="00F34EA4"/>
    <w:rsid w:val="00F35454"/>
    <w:rsid w:val="00F379F8"/>
    <w:rsid w:val="00F4079B"/>
    <w:rsid w:val="00F42732"/>
    <w:rsid w:val="00F444E9"/>
    <w:rsid w:val="00F55241"/>
    <w:rsid w:val="00F561FC"/>
    <w:rsid w:val="00F611D2"/>
    <w:rsid w:val="00F613F1"/>
    <w:rsid w:val="00F67130"/>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B150"/>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92DB-6581-4AF4-8C66-36F8FED7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10</cp:revision>
  <dcterms:created xsi:type="dcterms:W3CDTF">2019-08-23T02:55:00Z</dcterms:created>
  <dcterms:modified xsi:type="dcterms:W3CDTF">2019-08-23T07:32:00Z</dcterms:modified>
</cp:coreProperties>
</file>