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70C1" w:rsidRPr="00AE4967" w:rsidRDefault="00557C5F" w:rsidP="00C670C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the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5C3E99" w:rsidRPr="00AE4967" w:rsidRDefault="00A35600" w:rsidP="00C670C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Displacement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5C3E99" w:rsidRPr="00AE4967">
        <w:rPr>
          <w:rFonts w:ascii="Arial" w:eastAsia="Arial" w:hAnsi="Arial" w:cs="Arial"/>
          <w:b/>
          <w:sz w:val="32"/>
          <w:szCs w:val="24"/>
        </w:rPr>
        <w:t>Due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to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Military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Operations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AE4967" w:rsidRDefault="00C670C1" w:rsidP="005C3E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Shariff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8D47B8">
        <w:rPr>
          <w:rFonts w:ascii="Arial" w:eastAsia="Arial" w:hAnsi="Arial" w:cs="Arial"/>
          <w:b/>
          <w:sz w:val="32"/>
          <w:szCs w:val="24"/>
        </w:rPr>
        <w:t>Saydona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</w:p>
    <w:p w:rsidR="00470FE4" w:rsidRPr="00AE4967" w:rsidRDefault="00D26E8D" w:rsidP="005C3E9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bookmarkStart w:id="0" w:name="_GoBack"/>
      <w:bookmarkEnd w:id="0"/>
      <w:r w:rsidR="00C670C1" w:rsidRPr="00AE4967">
        <w:rPr>
          <w:rFonts w:ascii="Arial" w:eastAsia="Arial" w:hAnsi="Arial" w:cs="Arial"/>
          <w:sz w:val="24"/>
          <w:szCs w:val="24"/>
        </w:rPr>
        <w:t>06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C670C1" w:rsidRPr="00AE4967">
        <w:rPr>
          <w:rFonts w:ascii="Arial" w:eastAsia="Arial" w:hAnsi="Arial" w:cs="Arial"/>
          <w:sz w:val="24"/>
          <w:szCs w:val="24"/>
        </w:rPr>
        <w:t>August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8D47B8">
        <w:rPr>
          <w:rFonts w:ascii="Arial" w:eastAsia="Arial" w:hAnsi="Arial" w:cs="Arial"/>
          <w:sz w:val="24"/>
          <w:szCs w:val="24"/>
        </w:rPr>
        <w:t>5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</w:p>
    <w:p w:rsidR="00470FE4" w:rsidRPr="00AE4967" w:rsidRDefault="00470FE4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jdgxs" w:colFirst="0" w:colLast="0"/>
      <w:bookmarkEnd w:id="1"/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03EA1" w:rsidRPr="00AE4967" w:rsidRDefault="00C670C1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July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3PM,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Forces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Philippines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(AFP)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conducted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military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operation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47B8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Mustapha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due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presence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alleged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BIFF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created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fear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among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residence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including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those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nearby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municipalities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resulted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AE4967" w:rsidRDefault="00AE4967" w:rsidP="00AE496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AE4967" w:rsidRPr="00AE4967" w:rsidRDefault="00AE4967" w:rsidP="00AE496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E4967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E4967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E4967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E4967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615BA3" w:rsidRPr="00AE4967" w:rsidRDefault="00615BA3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AE4967" w:rsidRDefault="00C670C1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E4967">
        <w:rPr>
          <w:rFonts w:ascii="Arial" w:eastAsia="Arial" w:hAnsi="Arial" w:cs="Arial"/>
          <w:b/>
          <w:color w:val="0070C0"/>
          <w:sz w:val="24"/>
          <w:szCs w:val="24"/>
        </w:rPr>
        <w:t>2,103</w:t>
      </w:r>
      <w:r w:rsid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70C0"/>
          <w:sz w:val="24"/>
          <w:szCs w:val="24"/>
        </w:rPr>
        <w:t>10,515</w:t>
      </w:r>
      <w:r w:rsid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were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affected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BB3E5B" w:rsidRPr="00AE4967">
        <w:rPr>
          <w:rFonts w:ascii="Arial" w:eastAsia="Arial" w:hAnsi="Arial" w:cs="Arial"/>
          <w:sz w:val="24"/>
          <w:szCs w:val="24"/>
        </w:rPr>
        <w:t>due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BB3E5B" w:rsidRPr="00AE4967">
        <w:rPr>
          <w:rFonts w:ascii="Arial" w:eastAsia="Arial" w:hAnsi="Arial" w:cs="Arial"/>
          <w:sz w:val="24"/>
          <w:szCs w:val="24"/>
        </w:rPr>
        <w:t>to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DF3AD7" w:rsidRPr="00AE4967">
        <w:rPr>
          <w:rFonts w:ascii="Arial" w:eastAsia="Arial" w:hAnsi="Arial" w:cs="Arial"/>
          <w:sz w:val="24"/>
          <w:szCs w:val="24"/>
        </w:rPr>
        <w:t>military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DF3AD7" w:rsidRPr="00AE4967">
        <w:rPr>
          <w:rFonts w:ascii="Arial" w:eastAsia="Arial" w:hAnsi="Arial" w:cs="Arial"/>
          <w:sz w:val="24"/>
          <w:szCs w:val="24"/>
        </w:rPr>
        <w:t>operations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74289B" w:rsidRPr="00AE4967">
        <w:rPr>
          <w:rFonts w:ascii="Arial" w:eastAsia="Arial" w:hAnsi="Arial" w:cs="Arial"/>
          <w:sz w:val="24"/>
          <w:szCs w:val="24"/>
        </w:rPr>
        <w:t>in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74289B" w:rsidRPr="00AE4967">
        <w:rPr>
          <w:rFonts w:ascii="Arial" w:eastAsia="Arial" w:hAnsi="Arial" w:cs="Arial"/>
          <w:sz w:val="24"/>
          <w:szCs w:val="24"/>
        </w:rPr>
        <w:t>Pikit,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74289B" w:rsidRPr="00AE4967">
        <w:rPr>
          <w:rFonts w:ascii="Arial" w:eastAsia="Arial" w:hAnsi="Arial" w:cs="Arial"/>
          <w:sz w:val="24"/>
          <w:szCs w:val="24"/>
        </w:rPr>
        <w:t>North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74289B" w:rsidRPr="00AE4967">
        <w:rPr>
          <w:rFonts w:ascii="Arial" w:eastAsia="Arial" w:hAnsi="Arial" w:cs="Arial"/>
          <w:sz w:val="24"/>
          <w:szCs w:val="24"/>
        </w:rPr>
        <w:t>Cotabato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(</w:t>
      </w:r>
      <w:r w:rsidR="00C97971" w:rsidRPr="00AE4967">
        <w:rPr>
          <w:rFonts w:ascii="Arial" w:eastAsia="Arial" w:hAnsi="Arial" w:cs="Arial"/>
          <w:sz w:val="24"/>
          <w:szCs w:val="24"/>
        </w:rPr>
        <w:t>see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Table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1678"/>
        <w:gridCol w:w="1357"/>
        <w:gridCol w:w="1340"/>
      </w:tblGrid>
      <w:tr w:rsidR="0095307E" w:rsidRPr="00A6749E" w:rsidTr="00A6749E">
        <w:trPr>
          <w:trHeight w:val="20"/>
        </w:trPr>
        <w:tc>
          <w:tcPr>
            <w:tcW w:w="2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07E" w:rsidRPr="00A6749E" w:rsidRDefault="0095307E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07E" w:rsidRPr="00A6749E" w:rsidRDefault="00E04AE5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5307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5307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95307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2,103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10,515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414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2,070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414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2,070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414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2,070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ARMM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1,689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8,445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Maguindanao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1,689</w:t>
            </w:r>
            <w:r w:rsid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8,445</w:t>
            </w:r>
            <w:r w:rsid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Datu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Salibo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373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1,865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Shariff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Saydona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Mustapha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1,314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A6749E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6,570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A6749E" w:rsidRPr="00A6749E" w:rsidTr="00A6749E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Sultan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Sa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Barongis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(Lambayong)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49E" w:rsidRPr="00A6749E" w:rsidRDefault="00E04AE5" w:rsidP="005318D3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6749E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validation.</w:t>
      </w:r>
    </w:p>
    <w:p w:rsidR="005318D3" w:rsidRPr="00A6749E" w:rsidRDefault="00FC54C7" w:rsidP="00B25F5C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6749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749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749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E04AE5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5318D3" w:rsidRPr="00A6749E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A6749E" w:rsidRDefault="00A6749E" w:rsidP="00A674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5318D3" w:rsidRPr="00AE4967" w:rsidRDefault="005318D3" w:rsidP="00531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Default="00EB153B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670C1"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1,711</w:t>
      </w:r>
      <w:r w:rsid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4854" w:rsidRPr="00E04AE5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70C1"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5,855</w:t>
      </w:r>
      <w:r w:rsid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who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currently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staying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seven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(7)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center</w:t>
      </w:r>
      <w:r w:rsidR="00E04AE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2).</w:t>
      </w:r>
    </w:p>
    <w:p w:rsidR="00E04AE5" w:rsidRDefault="00E04AE5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77"/>
        <w:gridCol w:w="918"/>
        <w:gridCol w:w="918"/>
        <w:gridCol w:w="918"/>
        <w:gridCol w:w="920"/>
        <w:gridCol w:w="918"/>
        <w:gridCol w:w="920"/>
      </w:tblGrid>
      <w:tr w:rsidR="0074289B" w:rsidRPr="00A6749E" w:rsidTr="00E04AE5">
        <w:trPr>
          <w:trHeight w:val="20"/>
          <w:tblHeader/>
        </w:trPr>
        <w:tc>
          <w:tcPr>
            <w:tcW w:w="19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1,171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1,171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5,855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5,855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146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730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ARMM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1,025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1,025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5,125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5,125</w:t>
            </w:r>
            <w:r w:rsid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749E">
              <w:rPr>
                <w:rFonts w:ascii="Arial" w:hAnsi="Arial" w:cs="Arial"/>
                <w:b/>
                <w:bCs/>
                <w:sz w:val="20"/>
                <w:szCs w:val="24"/>
              </w:rPr>
              <w:t>Maguindanao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1,025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1,025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5,125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5,125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Shariff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Saydona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Mustapha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1,023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1,023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5,115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5,115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74289B" w:rsidRPr="00A6749E" w:rsidTr="00E04AE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 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74289B" w:rsidP="007428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Sultan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Sa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Barongis</w:t>
            </w:r>
            <w:r w:rsid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(Lambayong)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A6749E" w:rsidRDefault="00E04AE5" w:rsidP="007428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4289B" w:rsidRPr="00A6749E">
              <w:rPr>
                <w:rFonts w:ascii="Arial" w:hAnsi="Arial" w:cs="Arial"/>
                <w:i/>
                <w:iCs/>
                <w:sz w:val="20"/>
                <w:szCs w:val="24"/>
              </w:rPr>
              <w:t>10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C71101" w:rsidRPr="00A6749E" w:rsidRDefault="00E90BF0" w:rsidP="00E04AE5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validation.</w:t>
      </w:r>
    </w:p>
    <w:p w:rsidR="00930B8F" w:rsidRPr="00A6749E" w:rsidRDefault="00E603B3" w:rsidP="000E548F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6749E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A6749E">
        <w:rPr>
          <w:rFonts w:ascii="Arial" w:eastAsia="Arial" w:hAnsi="Arial" w:cs="Arial"/>
          <w:i/>
          <w:color w:val="0070C0"/>
          <w:sz w:val="16"/>
          <w:szCs w:val="24"/>
        </w:rPr>
        <w:t>DSWD-Field</w:t>
      </w:r>
      <w:r w:rsid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A6749E">
        <w:rPr>
          <w:rFonts w:ascii="Arial" w:eastAsia="Arial" w:hAnsi="Arial" w:cs="Arial"/>
          <w:i/>
          <w:color w:val="0070C0"/>
          <w:sz w:val="16"/>
          <w:szCs w:val="24"/>
        </w:rPr>
        <w:t>Office</w:t>
      </w:r>
      <w:r w:rsid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8D3" w:rsidRPr="00A6749E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E04AE5" w:rsidRPr="00E04AE5" w:rsidRDefault="00E04AE5" w:rsidP="00E04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E04AE5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There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E04AE5" w:rsidRPr="00E04AE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20A02" w:rsidRPr="00E04AE5">
        <w:rPr>
          <w:rFonts w:ascii="Arial" w:eastAsia="Arial" w:hAnsi="Arial" w:cs="Arial"/>
          <w:b/>
          <w:color w:val="0070C0"/>
          <w:sz w:val="24"/>
          <w:szCs w:val="24"/>
        </w:rPr>
        <w:t>932</w:t>
      </w:r>
      <w:r w:rsidR="00E04AE5" w:rsidRP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E04A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sz w:val="24"/>
          <w:szCs w:val="24"/>
        </w:rPr>
        <w:t>or</w:t>
      </w:r>
      <w:r w:rsidR="00E04AE5" w:rsidRPr="00E04AE5">
        <w:rPr>
          <w:rFonts w:ascii="Arial" w:eastAsia="Arial" w:hAnsi="Arial" w:cs="Arial"/>
          <w:sz w:val="24"/>
          <w:szCs w:val="24"/>
        </w:rPr>
        <w:t xml:space="preserve"> </w:t>
      </w:r>
      <w:r w:rsidR="00120A02" w:rsidRPr="00E04AE5">
        <w:rPr>
          <w:rFonts w:ascii="Arial" w:eastAsia="Arial" w:hAnsi="Arial" w:cs="Arial"/>
          <w:b/>
          <w:color w:val="0070C0"/>
          <w:sz w:val="24"/>
          <w:szCs w:val="24"/>
        </w:rPr>
        <w:t>4,660</w:t>
      </w:r>
      <w:r w:rsidR="00E04AE5" w:rsidRP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E04AE5">
        <w:rPr>
          <w:rFonts w:ascii="Arial" w:eastAsia="Arial" w:hAnsi="Arial" w:cs="Arial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sz w:val="24"/>
          <w:szCs w:val="24"/>
        </w:rPr>
        <w:t>who</w:t>
      </w:r>
      <w:r w:rsidR="00E04AE5" w:rsidRPr="00E04AE5">
        <w:rPr>
          <w:rFonts w:ascii="Arial" w:eastAsia="Arial" w:hAnsi="Arial" w:cs="Arial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staying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(see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color w:val="000000" w:themeColor="text1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604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4189"/>
        <w:gridCol w:w="1078"/>
        <w:gridCol w:w="1080"/>
        <w:gridCol w:w="1246"/>
        <w:gridCol w:w="1243"/>
      </w:tblGrid>
      <w:tr w:rsidR="0074289B" w:rsidRPr="00E04AE5" w:rsidTr="00E04AE5">
        <w:trPr>
          <w:trHeight w:val="156"/>
        </w:trPr>
        <w:tc>
          <w:tcPr>
            <w:tcW w:w="2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E04AE5" w:rsidRDefault="0074289B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OUTSIDE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932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932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4,660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4,660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268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1,340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ARMM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664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664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3,320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3,320</w:t>
            </w: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sz w:val="20"/>
                <w:szCs w:val="24"/>
              </w:rPr>
              <w:t>Maguindanao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664</w:t>
            </w: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664</w:t>
            </w: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3,320</w:t>
            </w: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3,320</w:t>
            </w:r>
            <w:r w:rsidRPr="00E04AE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04AE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Datu</w:t>
            </w:r>
            <w:r w:rsidR="00E04AE5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Salibo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373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373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1,865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1,865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E04AE5" w:rsidTr="00E04AE5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04AE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120A02" w:rsidP="0074289B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Shariff</w:t>
            </w:r>
            <w:r w:rsidR="00E04AE5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Saydona</w:t>
            </w:r>
            <w:r w:rsidR="00E04AE5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Mustapha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291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291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1,455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E04AE5" w:rsidRDefault="00E04AE5" w:rsidP="0074289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E04AE5">
              <w:rPr>
                <w:rFonts w:ascii="Arial" w:hAnsi="Arial" w:cs="Arial"/>
                <w:i/>
                <w:iCs/>
                <w:sz w:val="20"/>
                <w:szCs w:val="24"/>
              </w:rPr>
              <w:t>1,455</w:t>
            </w:r>
            <w:r w:rsidRPr="00E04AE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5318D3" w:rsidRPr="00E04AE5" w:rsidRDefault="005318D3" w:rsidP="00E04AE5">
      <w:pPr>
        <w:pStyle w:val="NoSpacing1"/>
        <w:ind w:left="81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:rsidR="005318D3" w:rsidRPr="00E04AE5" w:rsidRDefault="005318D3" w:rsidP="00E04AE5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E04AE5" w:rsidRPr="00E04AE5" w:rsidRDefault="00E04AE5" w:rsidP="00E04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A02" w:rsidRPr="00AE4967" w:rsidRDefault="00120A02" w:rsidP="00120A0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120A02" w:rsidRPr="00AE4967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4289B" w:rsidRPr="00AE4967">
        <w:rPr>
          <w:rFonts w:ascii="Arial" w:eastAsia="Arial" w:hAnsi="Arial" w:cs="Arial"/>
          <w:b/>
          <w:color w:val="0070C0"/>
          <w:sz w:val="24"/>
          <w:szCs w:val="24"/>
        </w:rPr>
        <w:t>148,050.00</w:t>
      </w:r>
      <w:r w:rsid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worth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assistance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provided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24"/>
          <w:szCs w:val="24"/>
        </w:rPr>
        <w:t>DSWD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to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the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affected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(see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4).</w:t>
      </w:r>
    </w:p>
    <w:p w:rsidR="00120A02" w:rsidRPr="00AE4967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20A02" w:rsidRPr="009E72D8" w:rsidRDefault="00120A02" w:rsidP="00120A02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4.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of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Assistance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Provided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to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Affected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Families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/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Persons</w:t>
      </w:r>
    </w:p>
    <w:tbl>
      <w:tblPr>
        <w:tblW w:w="4847" w:type="pct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617"/>
        <w:gridCol w:w="1095"/>
        <w:gridCol w:w="1095"/>
        <w:gridCol w:w="1095"/>
        <w:gridCol w:w="1095"/>
        <w:gridCol w:w="1093"/>
      </w:tblGrid>
      <w:tr w:rsidR="00120A02" w:rsidRPr="009E72D8" w:rsidTr="009E72D8">
        <w:trPr>
          <w:trHeight w:val="428"/>
        </w:trPr>
        <w:tc>
          <w:tcPr>
            <w:tcW w:w="21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COST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ASSISTANCE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9E72D8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NGOs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OTHERS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9E72D8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9E72D8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9E72D8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9E72D8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9E72D8">
              <w:rPr>
                <w:rFonts w:ascii="Arial" w:hAnsi="Arial" w:cs="Arial"/>
                <w:bCs/>
                <w:i/>
                <w:sz w:val="20"/>
                <w:szCs w:val="24"/>
              </w:rPr>
              <w:t>148,050.00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120A0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148,050.00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120A02" w:rsidRPr="009E72D8" w:rsidRDefault="00120A02" w:rsidP="009E72D8">
      <w:pPr>
        <w:pStyle w:val="NoSpacing1"/>
        <w:ind w:firstLine="357"/>
        <w:contextualSpacing/>
        <w:rPr>
          <w:rFonts w:ascii="Arial" w:hAnsi="Arial" w:cs="Arial"/>
          <w:bCs/>
          <w:i/>
          <w:sz w:val="20"/>
          <w:szCs w:val="24"/>
          <w:lang w:val="en-PH"/>
        </w:rPr>
      </w:pPr>
      <w:r w:rsidRPr="009E72D8">
        <w:rPr>
          <w:rFonts w:ascii="Arial" w:hAnsi="Arial" w:cs="Arial"/>
          <w:bCs/>
          <w:i/>
          <w:sz w:val="20"/>
          <w:szCs w:val="24"/>
          <w:lang w:val="en-PH"/>
        </w:rPr>
        <w:t>Note: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Ongoing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assessment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and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validation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being</w:t>
      </w:r>
      <w:r w:rsidR="00E04AE5" w:rsidRPr="009E72D8">
        <w:rPr>
          <w:rFonts w:ascii="Arial" w:hAnsi="Arial" w:cs="Arial"/>
          <w:bCs/>
          <w:i/>
          <w:sz w:val="20"/>
          <w:szCs w:val="24"/>
          <w:lang w:val="en-PH"/>
        </w:rPr>
        <w:t xml:space="preserve"> </w:t>
      </w:r>
      <w:r w:rsidRPr="009E72D8">
        <w:rPr>
          <w:rFonts w:ascii="Arial" w:hAnsi="Arial" w:cs="Arial"/>
          <w:bCs/>
          <w:i/>
          <w:sz w:val="20"/>
          <w:szCs w:val="24"/>
          <w:lang w:val="en-PH"/>
        </w:rPr>
        <w:t>conducted.</w:t>
      </w:r>
    </w:p>
    <w:p w:rsidR="00120A02" w:rsidRPr="009E72D8" w:rsidRDefault="00120A02" w:rsidP="00120A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9E72D8">
        <w:rPr>
          <w:rFonts w:ascii="Arial" w:eastAsia="Arial" w:hAnsi="Arial" w:cs="Arial"/>
          <w:i/>
          <w:color w:val="0070C0"/>
          <w:sz w:val="20"/>
          <w:szCs w:val="24"/>
        </w:rPr>
        <w:t>Source:</w:t>
      </w:r>
      <w:r w:rsidR="00E04AE5" w:rsidRPr="009E72D8">
        <w:rPr>
          <w:rFonts w:ascii="Arial" w:eastAsia="Arial" w:hAnsi="Arial" w:cs="Arial"/>
          <w:i/>
          <w:color w:val="0070C0"/>
          <w:sz w:val="20"/>
          <w:szCs w:val="24"/>
        </w:rPr>
        <w:t xml:space="preserve"> </w:t>
      </w:r>
      <w:r w:rsidRPr="009E72D8">
        <w:rPr>
          <w:rFonts w:ascii="Arial" w:eastAsia="Arial" w:hAnsi="Arial" w:cs="Arial"/>
          <w:i/>
          <w:color w:val="0070C0"/>
          <w:sz w:val="20"/>
          <w:szCs w:val="24"/>
        </w:rPr>
        <w:t>DSWD-FO</w:t>
      </w:r>
      <w:r w:rsidR="00E04AE5" w:rsidRPr="009E72D8">
        <w:rPr>
          <w:rFonts w:ascii="Arial" w:eastAsia="Arial" w:hAnsi="Arial" w:cs="Arial"/>
          <w:i/>
          <w:color w:val="0070C0"/>
          <w:sz w:val="20"/>
          <w:szCs w:val="24"/>
        </w:rPr>
        <w:t xml:space="preserve"> </w:t>
      </w:r>
      <w:r w:rsidRPr="009E72D8">
        <w:rPr>
          <w:rFonts w:ascii="Arial" w:eastAsia="Arial" w:hAnsi="Arial" w:cs="Arial"/>
          <w:i/>
          <w:color w:val="0070C0"/>
          <w:sz w:val="20"/>
          <w:szCs w:val="24"/>
        </w:rPr>
        <w:t>XII</w:t>
      </w:r>
    </w:p>
    <w:p w:rsidR="009E72D8" w:rsidRDefault="009E72D8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br w:type="page"/>
      </w:r>
    </w:p>
    <w:p w:rsidR="00470FE4" w:rsidRPr="009E72D8" w:rsidRDefault="00FC54C7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3D0AEA" w:rsidRPr="00AE4967" w:rsidRDefault="00E04AE5" w:rsidP="006A63BA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D0AEA" w:rsidRPr="009E72D8" w:rsidTr="00B55D8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B55D8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74289B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9E72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9E72D8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B25F5C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E8" w:rsidRPr="009E72D8" w:rsidRDefault="00B25F5C" w:rsidP="009E72D8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actual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monitoring.</w:t>
            </w:r>
          </w:p>
        </w:tc>
      </w:tr>
    </w:tbl>
    <w:p w:rsidR="006A63BA" w:rsidRPr="00AE4967" w:rsidRDefault="006A63BA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24"/>
        </w:rPr>
      </w:pPr>
      <w:bookmarkStart w:id="4" w:name="_3znysh7" w:colFirst="0" w:colLast="0"/>
      <w:bookmarkEnd w:id="4"/>
    </w:p>
    <w:p w:rsidR="00470FE4" w:rsidRPr="00A949BE" w:rsidRDefault="00FC54C7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949BE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949BE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continues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:rsidR="00D6454A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6A63BA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MARIJOY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24"/>
          <w:szCs w:val="24"/>
        </w:rPr>
        <w:t>V.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24"/>
          <w:szCs w:val="24"/>
        </w:rPr>
        <w:t>SAN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24"/>
          <w:szCs w:val="24"/>
        </w:rPr>
        <w:t>BUENAVENTURA</w:t>
      </w:r>
    </w:p>
    <w:p w:rsidR="002E75E9" w:rsidRDefault="002E75E9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949BE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C5" w:rsidRDefault="001B52C5">
      <w:pPr>
        <w:spacing w:after="0" w:line="240" w:lineRule="auto"/>
      </w:pPr>
      <w:r>
        <w:separator/>
      </w:r>
    </w:p>
  </w:endnote>
  <w:endnote w:type="continuationSeparator" w:id="0">
    <w:p w:rsidR="001B52C5" w:rsidRDefault="001B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DD4B8F" w:rsidRDefault="00FC54C7" w:rsidP="00DD4B8F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 w:rsidRPr="00B25F5C">
      <w:rPr>
        <w:sz w:val="16"/>
        <w:szCs w:val="16"/>
      </w:rPr>
      <w:t xml:space="preserve">Page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PAGE</w:instrText>
    </w:r>
    <w:r w:rsidRPr="00B25F5C">
      <w:rPr>
        <w:b/>
        <w:sz w:val="16"/>
        <w:szCs w:val="16"/>
      </w:rPr>
      <w:fldChar w:fldCharType="separate"/>
    </w:r>
    <w:r w:rsidR="00D26E8D">
      <w:rPr>
        <w:b/>
        <w:noProof/>
        <w:sz w:val="16"/>
        <w:szCs w:val="16"/>
      </w:rPr>
      <w:t>3</w:t>
    </w:r>
    <w:r w:rsidRPr="00B25F5C">
      <w:rPr>
        <w:b/>
        <w:sz w:val="16"/>
        <w:szCs w:val="16"/>
      </w:rPr>
      <w:fldChar w:fldCharType="end"/>
    </w:r>
    <w:r w:rsidRPr="00B25F5C">
      <w:rPr>
        <w:sz w:val="16"/>
        <w:szCs w:val="16"/>
      </w:rPr>
      <w:t xml:space="preserve"> of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NUMPAGES</w:instrText>
    </w:r>
    <w:r w:rsidRPr="00B25F5C">
      <w:rPr>
        <w:b/>
        <w:sz w:val="16"/>
        <w:szCs w:val="16"/>
      </w:rPr>
      <w:fldChar w:fldCharType="separate"/>
    </w:r>
    <w:r w:rsidR="00D26E8D">
      <w:rPr>
        <w:b/>
        <w:noProof/>
        <w:sz w:val="16"/>
        <w:szCs w:val="16"/>
      </w:rPr>
      <w:t>3</w:t>
    </w:r>
    <w:r w:rsidRPr="00B25F5C">
      <w:rPr>
        <w:b/>
        <w:sz w:val="16"/>
        <w:szCs w:val="16"/>
      </w:rPr>
      <w:fldChar w:fldCharType="end"/>
    </w:r>
    <w:r w:rsidRPr="00B25F5C">
      <w:rPr>
        <w:sz w:val="16"/>
        <w:szCs w:val="16"/>
      </w:rPr>
      <w:t>|</w:t>
    </w:r>
    <w:r w:rsidR="003712FF" w:rsidRPr="00B25F5C">
      <w:rPr>
        <w:sz w:val="16"/>
        <w:szCs w:val="16"/>
      </w:rPr>
      <w:t xml:space="preserve"> </w:t>
    </w:r>
    <w:r w:rsidR="003D0AEA" w:rsidRPr="00B25F5C">
      <w:rPr>
        <w:sz w:val="16"/>
        <w:szCs w:val="16"/>
      </w:rPr>
      <w:t xml:space="preserve">DSWD DROMIC Report #1 on </w:t>
    </w:r>
    <w:r w:rsidR="003712FF" w:rsidRPr="00B25F5C">
      <w:rPr>
        <w:sz w:val="16"/>
        <w:szCs w:val="16"/>
      </w:rPr>
      <w:t xml:space="preserve">the </w:t>
    </w:r>
    <w:r w:rsidR="00C670C1" w:rsidRPr="00B25F5C">
      <w:rPr>
        <w:sz w:val="16"/>
        <w:szCs w:val="16"/>
      </w:rPr>
      <w:t xml:space="preserve">Displacement Due to </w:t>
    </w:r>
    <w:r w:rsidR="003D0AEA" w:rsidRPr="00B25F5C">
      <w:rPr>
        <w:sz w:val="16"/>
        <w:szCs w:val="16"/>
      </w:rPr>
      <w:t>Military O</w:t>
    </w:r>
    <w:r w:rsidR="00C670C1" w:rsidRPr="00B25F5C">
      <w:rPr>
        <w:sz w:val="16"/>
        <w:szCs w:val="16"/>
      </w:rPr>
      <w:t xml:space="preserve">perations in </w:t>
    </w:r>
  </w:p>
  <w:p w:rsidR="00470FE4" w:rsidRPr="00B25F5C" w:rsidRDefault="00DD4B8F" w:rsidP="00DD4B8F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Shariff Saydona Mustapha, </w:t>
    </w:r>
    <w:r w:rsidR="00C670C1" w:rsidRPr="00B25F5C">
      <w:rPr>
        <w:sz w:val="16"/>
        <w:szCs w:val="16"/>
      </w:rPr>
      <w:t xml:space="preserve">Maguindanao as of 06 August </w:t>
    </w:r>
    <w:r w:rsidR="003D0AEA" w:rsidRPr="00B25F5C">
      <w:rPr>
        <w:sz w:val="16"/>
        <w:szCs w:val="16"/>
      </w:rPr>
      <w:t xml:space="preserve">2019, </w:t>
    </w:r>
    <w:r w:rsidR="007C792F">
      <w:rPr>
        <w:sz w:val="16"/>
        <w:szCs w:val="16"/>
      </w:rPr>
      <w:t>5</w:t>
    </w:r>
    <w:r w:rsidR="003D0AEA" w:rsidRPr="00B25F5C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C5" w:rsidRDefault="001B52C5">
      <w:pPr>
        <w:spacing w:after="0" w:line="240" w:lineRule="auto"/>
      </w:pPr>
      <w:r>
        <w:separator/>
      </w:r>
    </w:p>
  </w:footnote>
  <w:footnote w:type="continuationSeparator" w:id="0">
    <w:p w:rsidR="001B52C5" w:rsidRDefault="001B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E548F"/>
    <w:rsid w:val="00111B24"/>
    <w:rsid w:val="0011327B"/>
    <w:rsid w:val="00120A02"/>
    <w:rsid w:val="00133832"/>
    <w:rsid w:val="00162EFA"/>
    <w:rsid w:val="001B52C5"/>
    <w:rsid w:val="001F3F13"/>
    <w:rsid w:val="001F4B02"/>
    <w:rsid w:val="001F5D51"/>
    <w:rsid w:val="00201A4B"/>
    <w:rsid w:val="00213534"/>
    <w:rsid w:val="00286609"/>
    <w:rsid w:val="002977DD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B6C"/>
    <w:rsid w:val="00470FE4"/>
    <w:rsid w:val="004713E2"/>
    <w:rsid w:val="004B229B"/>
    <w:rsid w:val="004B2B7C"/>
    <w:rsid w:val="004C0A5D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13D1F"/>
    <w:rsid w:val="00615BA3"/>
    <w:rsid w:val="006265AF"/>
    <w:rsid w:val="0064063A"/>
    <w:rsid w:val="006612E6"/>
    <w:rsid w:val="006A63BA"/>
    <w:rsid w:val="006A657B"/>
    <w:rsid w:val="006E0766"/>
    <w:rsid w:val="006E3F82"/>
    <w:rsid w:val="0071760E"/>
    <w:rsid w:val="00736A7C"/>
    <w:rsid w:val="0074289B"/>
    <w:rsid w:val="00774AAD"/>
    <w:rsid w:val="00785AFB"/>
    <w:rsid w:val="00792BBD"/>
    <w:rsid w:val="007A20F1"/>
    <w:rsid w:val="007C792F"/>
    <w:rsid w:val="007D54CF"/>
    <w:rsid w:val="007D7E2B"/>
    <w:rsid w:val="007E2A51"/>
    <w:rsid w:val="007E6117"/>
    <w:rsid w:val="007F1365"/>
    <w:rsid w:val="00830BFD"/>
    <w:rsid w:val="008C4054"/>
    <w:rsid w:val="008D47B8"/>
    <w:rsid w:val="009246DE"/>
    <w:rsid w:val="00930B8F"/>
    <w:rsid w:val="00937C09"/>
    <w:rsid w:val="00945747"/>
    <w:rsid w:val="0095307E"/>
    <w:rsid w:val="0095416E"/>
    <w:rsid w:val="009B3E46"/>
    <w:rsid w:val="009E72D8"/>
    <w:rsid w:val="00A07CC1"/>
    <w:rsid w:val="00A22603"/>
    <w:rsid w:val="00A35600"/>
    <w:rsid w:val="00A6749E"/>
    <w:rsid w:val="00A76FAB"/>
    <w:rsid w:val="00A949BE"/>
    <w:rsid w:val="00AE4967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C335E5"/>
    <w:rsid w:val="00C34052"/>
    <w:rsid w:val="00C670C1"/>
    <w:rsid w:val="00C71101"/>
    <w:rsid w:val="00C760D1"/>
    <w:rsid w:val="00C865F8"/>
    <w:rsid w:val="00C97971"/>
    <w:rsid w:val="00CA4B8C"/>
    <w:rsid w:val="00CD7DE8"/>
    <w:rsid w:val="00CE07C6"/>
    <w:rsid w:val="00D241F6"/>
    <w:rsid w:val="00D26E8D"/>
    <w:rsid w:val="00D30B5C"/>
    <w:rsid w:val="00D6202F"/>
    <w:rsid w:val="00D6454A"/>
    <w:rsid w:val="00DA15B5"/>
    <w:rsid w:val="00DD4B8F"/>
    <w:rsid w:val="00DD7D90"/>
    <w:rsid w:val="00DF3AD7"/>
    <w:rsid w:val="00E04AE5"/>
    <w:rsid w:val="00E16729"/>
    <w:rsid w:val="00E16BC2"/>
    <w:rsid w:val="00E31993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AD36-2496-46F6-B577-81F6481A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13</cp:revision>
  <dcterms:created xsi:type="dcterms:W3CDTF">2019-08-06T09:21:00Z</dcterms:created>
  <dcterms:modified xsi:type="dcterms:W3CDTF">2019-08-06T09:37:00Z</dcterms:modified>
</cp:coreProperties>
</file>