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1CD4" w:rsidRDefault="00557C5F" w:rsidP="000D1CD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0D1CD4">
        <w:rPr>
          <w:rFonts w:ascii="Arial" w:eastAsia="Arial" w:hAnsi="Arial" w:cs="Arial"/>
          <w:b/>
          <w:sz w:val="32"/>
          <w:szCs w:val="24"/>
        </w:rPr>
        <w:t>3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</w:p>
    <w:p w:rsidR="000D1CD4" w:rsidRDefault="00A35600" w:rsidP="000D1CD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Displacement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d</w:t>
      </w:r>
      <w:r w:rsidR="005C3E99" w:rsidRPr="00AE4967">
        <w:rPr>
          <w:rFonts w:ascii="Arial" w:eastAsia="Arial" w:hAnsi="Arial" w:cs="Arial"/>
          <w:b/>
          <w:sz w:val="32"/>
          <w:szCs w:val="24"/>
        </w:rPr>
        <w:t>ue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C670C1" w:rsidRPr="00AE4967">
        <w:rPr>
          <w:rFonts w:ascii="Arial" w:eastAsia="Arial" w:hAnsi="Arial" w:cs="Arial"/>
          <w:b/>
          <w:sz w:val="32"/>
          <w:szCs w:val="24"/>
        </w:rPr>
        <w:t>to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E90BF0" w:rsidRPr="00AE4967">
        <w:rPr>
          <w:rFonts w:ascii="Arial" w:eastAsia="Arial" w:hAnsi="Arial" w:cs="Arial"/>
          <w:b/>
          <w:sz w:val="32"/>
          <w:szCs w:val="24"/>
        </w:rPr>
        <w:t>Military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E90BF0" w:rsidRPr="00AE4967">
        <w:rPr>
          <w:rFonts w:ascii="Arial" w:eastAsia="Arial" w:hAnsi="Arial" w:cs="Arial"/>
          <w:b/>
          <w:sz w:val="32"/>
          <w:szCs w:val="24"/>
        </w:rPr>
        <w:t>Operations</w:t>
      </w:r>
      <w:r w:rsidR="001B7B64">
        <w:rPr>
          <w:rFonts w:ascii="Arial" w:eastAsia="Arial" w:hAnsi="Arial" w:cs="Arial"/>
          <w:b/>
          <w:sz w:val="32"/>
          <w:szCs w:val="24"/>
        </w:rPr>
        <w:t xml:space="preserve"> </w:t>
      </w:r>
      <w:r w:rsidR="00C670C1"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AE4967" w:rsidRDefault="00A6749E" w:rsidP="000D1CD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Shariff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D47B8">
        <w:rPr>
          <w:rFonts w:ascii="Arial" w:eastAsia="Arial" w:hAnsi="Arial" w:cs="Arial"/>
          <w:b/>
          <w:sz w:val="32"/>
          <w:szCs w:val="24"/>
        </w:rPr>
        <w:t>Saydona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Musta</w:t>
      </w:r>
      <w:r w:rsidR="008D47B8">
        <w:rPr>
          <w:rFonts w:ascii="Arial" w:eastAsia="Arial" w:hAnsi="Arial" w:cs="Arial"/>
          <w:b/>
          <w:sz w:val="32"/>
          <w:szCs w:val="24"/>
        </w:rPr>
        <w:t>pha,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Magui</w:t>
      </w:r>
      <w:r w:rsidR="008D47B8">
        <w:rPr>
          <w:rFonts w:ascii="Arial" w:eastAsia="Arial" w:hAnsi="Arial" w:cs="Arial"/>
          <w:b/>
          <w:sz w:val="32"/>
          <w:szCs w:val="24"/>
        </w:rPr>
        <w:t>ndanao</w:t>
      </w:r>
      <w:proofErr w:type="spellEnd"/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0D1CD4">
        <w:rPr>
          <w:rFonts w:ascii="Arial" w:eastAsia="Arial" w:hAnsi="Arial" w:cs="Arial"/>
          <w:sz w:val="24"/>
          <w:szCs w:val="24"/>
        </w:rPr>
        <w:t>20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0D1CD4">
        <w:rPr>
          <w:rFonts w:ascii="Arial" w:eastAsia="Arial" w:hAnsi="Arial" w:cs="Arial"/>
          <w:sz w:val="24"/>
          <w:szCs w:val="24"/>
        </w:rPr>
        <w:t>September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557C5F" w:rsidRPr="00AE4967">
        <w:rPr>
          <w:rFonts w:ascii="Arial" w:eastAsia="Arial" w:hAnsi="Arial" w:cs="Arial"/>
          <w:sz w:val="24"/>
          <w:szCs w:val="24"/>
        </w:rPr>
        <w:t>2019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1B7B64">
        <w:rPr>
          <w:rFonts w:ascii="Arial" w:eastAsia="Arial" w:hAnsi="Arial" w:cs="Arial"/>
          <w:sz w:val="24"/>
          <w:szCs w:val="24"/>
        </w:rPr>
        <w:t>6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4967" w:rsidRPr="00B0192D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25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July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around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Armed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Forces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Philippines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(AFP)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conducted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military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operation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Shariff</w:t>
      </w:r>
      <w:proofErr w:type="spellEnd"/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47B8">
        <w:rPr>
          <w:rFonts w:ascii="Arial" w:eastAsia="Arial" w:hAnsi="Arial" w:cs="Arial"/>
          <w:color w:val="000000" w:themeColor="text1"/>
          <w:sz w:val="24"/>
          <w:szCs w:val="24"/>
        </w:rPr>
        <w:t>Saydona</w:t>
      </w:r>
      <w:proofErr w:type="spellEnd"/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Mustapha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 d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ue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presence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alleged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BIFF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group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>. This has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created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fear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among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residence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including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those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the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nearby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6749E">
        <w:rPr>
          <w:rFonts w:ascii="Arial" w:eastAsia="Arial" w:hAnsi="Arial" w:cs="Arial"/>
          <w:color w:val="000000" w:themeColor="text1"/>
          <w:sz w:val="24"/>
          <w:szCs w:val="24"/>
        </w:rPr>
        <w:t>municipalities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which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resulted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E4967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803294" w:rsidRDefault="00AE4967" w:rsidP="0080329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1B7B64" w:rsidRP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C670C1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2,103</w:t>
      </w:r>
      <w:r w:rsidR="00E04AE5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families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10,515</w:t>
      </w:r>
      <w:r w:rsidR="00E04AE5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b/>
          <w:color w:val="000000" w:themeColor="text1"/>
          <w:sz w:val="24"/>
          <w:szCs w:val="24"/>
        </w:rPr>
        <w:t>persons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3E5B" w:rsidRPr="00B0192D">
        <w:rPr>
          <w:rFonts w:ascii="Arial" w:eastAsia="Arial" w:hAnsi="Arial" w:cs="Arial"/>
          <w:color w:val="000000" w:themeColor="text1"/>
          <w:sz w:val="24"/>
          <w:szCs w:val="24"/>
        </w:rPr>
        <w:t>due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B3E5B" w:rsidRPr="00B0192D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875F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7" w:rsidRPr="00B0192D">
        <w:rPr>
          <w:rFonts w:ascii="Arial" w:eastAsia="Arial" w:hAnsi="Arial" w:cs="Arial"/>
          <w:color w:val="000000" w:themeColor="text1"/>
          <w:sz w:val="24"/>
          <w:szCs w:val="24"/>
        </w:rPr>
        <w:t>military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3AD7" w:rsidRPr="00B0192D">
        <w:rPr>
          <w:rFonts w:ascii="Arial" w:eastAsia="Arial" w:hAnsi="Arial" w:cs="Arial"/>
          <w:color w:val="000000" w:themeColor="text1"/>
          <w:sz w:val="24"/>
          <w:szCs w:val="24"/>
        </w:rPr>
        <w:t>operations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North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562"/>
        <w:gridCol w:w="1749"/>
        <w:gridCol w:w="1428"/>
        <w:gridCol w:w="1430"/>
      </w:tblGrid>
      <w:tr w:rsidR="00B0192D" w:rsidRPr="00DD74AB" w:rsidTr="00B0192D">
        <w:trPr>
          <w:trHeight w:val="20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DD74AB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2,103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10,515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2,070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803294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DD74AB"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1,689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8,445 </w:t>
            </w:r>
          </w:p>
        </w:tc>
      </w:tr>
      <w:tr w:rsidR="00B0192D" w:rsidRPr="00DD74AB" w:rsidTr="00B0192D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74AB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1,689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8,445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6,570 </w:t>
            </w:r>
          </w:p>
        </w:tc>
      </w:tr>
      <w:tr w:rsidR="00B0192D" w:rsidRPr="00DD74AB" w:rsidTr="00B0192D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74A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74AB" w:rsidRPr="00DD74AB" w:rsidRDefault="00DD74AB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74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03294" w:rsidRPr="00803294" w:rsidRDefault="00875F87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875F87" w:rsidRPr="00875F87" w:rsidRDefault="00875F87" w:rsidP="00875F87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B0192D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364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0192D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</w:t>
      </w:r>
      <w:r w:rsidR="00C670C1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,8</w:t>
      </w:r>
      <w:r w:rsidR="00B0192D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20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who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B0192D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</w:t>
      </w:r>
      <w:r w:rsidR="00E04AE5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89020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27"/>
        <w:gridCol w:w="926"/>
        <w:gridCol w:w="1047"/>
        <w:gridCol w:w="888"/>
        <w:gridCol w:w="890"/>
        <w:gridCol w:w="888"/>
        <w:gridCol w:w="876"/>
      </w:tblGrid>
      <w:tr w:rsidR="00B0192D" w:rsidRPr="00B0192D" w:rsidTr="00B0192D">
        <w:trPr>
          <w:trHeight w:val="20"/>
        </w:trPr>
        <w:tc>
          <w:tcPr>
            <w:tcW w:w="18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1,274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6,370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649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3,245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1,820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803294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B0192D"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0192D" w:rsidRPr="00B0192D" w:rsidTr="00B0192D">
        <w:trPr>
          <w:trHeight w:val="20"/>
        </w:trPr>
        <w:tc>
          <w:tcPr>
            <w:tcW w:w="1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0192D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B0192D" w:rsidRPr="00B0192D" w:rsidTr="00B0192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19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Sultan Sa </w:t>
            </w:r>
            <w:proofErr w:type="spellStart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Barongis</w:t>
            </w:r>
            <w:proofErr w:type="spellEnd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  <w:proofErr w:type="spellEnd"/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92D" w:rsidRPr="00B0192D" w:rsidRDefault="00B0192D" w:rsidP="00B019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019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875F87" w:rsidRDefault="00E90BF0" w:rsidP="00875F87">
      <w:pPr>
        <w:spacing w:after="0" w:line="240" w:lineRule="auto"/>
        <w:ind w:left="81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E04AE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increase in the number of affected families specifically, </w:t>
      </w:r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501 families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in </w:t>
      </w:r>
      <w:proofErr w:type="spellStart"/>
      <w:r w:rsidR="00875F87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Shariff</w:t>
      </w:r>
      <w:proofErr w:type="spellEnd"/>
      <w:r w:rsidR="00875F87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proofErr w:type="spellStart"/>
      <w:r w:rsidR="00875F87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Saydona</w:t>
      </w:r>
      <w:proofErr w:type="spellEnd"/>
      <w:r w:rsidR="00875F87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Mustapha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were displaced in </w:t>
      </w:r>
    </w:p>
    <w:p w:rsidR="006924ED" w:rsidRPr="006924ED" w:rsidRDefault="00875F87" w:rsidP="00875F87">
      <w:pPr>
        <w:spacing w:after="0" w:line="240" w:lineRule="auto"/>
        <w:ind w:left="81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Pikit</w:t>
      </w:r>
      <w:proofErr w:type="spellEnd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, North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Cotabato</w:t>
      </w:r>
      <w:proofErr w:type="spellEnd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Meanwhile, the </w:t>
      </w:r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2 families who took temporary shelter in </w:t>
      </w:r>
      <w:proofErr w:type="spellStart"/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Pikit</w:t>
      </w:r>
      <w:proofErr w:type="spellEnd"/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, North </w:t>
      </w:r>
      <w:proofErr w:type="spellStart"/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Cotabato</w:t>
      </w:r>
      <w:proofErr w:type="spellEnd"/>
      <w:r w:rsid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were from </w:t>
      </w:r>
      <w:r w:rsidR="006924ED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Sultan Sa </w:t>
      </w:r>
      <w:proofErr w:type="spellStart"/>
      <w:r w:rsidR="006924ED" w:rsidRPr="006924E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Barongis</w:t>
      </w:r>
      <w:proofErr w:type="spellEnd"/>
      <w:r w:rsidR="001B7B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Changes in the figures are based on the o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B7B6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validation being conducted. </w:t>
      </w:r>
    </w:p>
    <w:p w:rsidR="00F51D1F" w:rsidRPr="00890200" w:rsidRDefault="00875F87" w:rsidP="0089020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7B64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0200">
        <w:rPr>
          <w:rFonts w:ascii="Arial" w:eastAsia="Arial" w:hAnsi="Arial" w:cs="Arial"/>
          <w:b/>
          <w:color w:val="0070C0"/>
          <w:sz w:val="24"/>
          <w:szCs w:val="24"/>
        </w:rPr>
        <w:t>83</w:t>
      </w:r>
      <w:r w:rsidR="00E04AE5" w:rsidRPr="008902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9020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8902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90200">
        <w:rPr>
          <w:rFonts w:ascii="Arial" w:eastAsia="Arial" w:hAnsi="Arial" w:cs="Arial"/>
          <w:b/>
          <w:color w:val="0070C0"/>
          <w:sz w:val="24"/>
          <w:szCs w:val="24"/>
        </w:rPr>
        <w:t xml:space="preserve">415 </w:t>
      </w:r>
      <w:r w:rsidRPr="0089020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89020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who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relatives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62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4219"/>
        <w:gridCol w:w="1068"/>
        <w:gridCol w:w="1068"/>
        <w:gridCol w:w="1239"/>
        <w:gridCol w:w="1233"/>
      </w:tblGrid>
      <w:tr w:rsidR="00890200" w:rsidRPr="00890200" w:rsidTr="00890200">
        <w:trPr>
          <w:trHeight w:val="50"/>
        </w:trPr>
        <w:tc>
          <w:tcPr>
            <w:tcW w:w="24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90200" w:rsidRPr="00890200" w:rsidTr="00890200">
        <w:trPr>
          <w:trHeight w:val="20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90200" w:rsidRPr="00890200" w:rsidTr="00890200">
        <w:trPr>
          <w:trHeight w:val="20"/>
        </w:trPr>
        <w:tc>
          <w:tcPr>
            <w:tcW w:w="24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90200" w:rsidRPr="00890200" w:rsidTr="00890200">
        <w:trPr>
          <w:trHeight w:val="20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829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4,145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415 </w:t>
            </w:r>
          </w:p>
        </w:tc>
      </w:tr>
      <w:tr w:rsidR="00890200" w:rsidRPr="00890200" w:rsidTr="00890200">
        <w:trPr>
          <w:trHeight w:val="20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415 </w:t>
            </w:r>
          </w:p>
        </w:tc>
      </w:tr>
      <w:tr w:rsidR="00890200" w:rsidRPr="00890200" w:rsidTr="00890200">
        <w:trPr>
          <w:trHeight w:val="20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415 </w:t>
            </w:r>
          </w:p>
        </w:tc>
      </w:tr>
      <w:tr w:rsidR="00890200" w:rsidRPr="00890200" w:rsidTr="00890200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415 </w:t>
            </w:r>
          </w:p>
        </w:tc>
      </w:tr>
      <w:tr w:rsidR="00890200" w:rsidRPr="00890200" w:rsidTr="00890200">
        <w:trPr>
          <w:trHeight w:val="20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03294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0200"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2,615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890200" w:rsidRPr="00890200" w:rsidTr="00890200">
        <w:trPr>
          <w:trHeight w:val="20"/>
        </w:trPr>
        <w:tc>
          <w:tcPr>
            <w:tcW w:w="2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523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2,615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0200" w:rsidRPr="00890200" w:rsidTr="00890200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0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1,865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90200" w:rsidRPr="00890200" w:rsidTr="00890200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0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6924ED" w:rsidRDefault="005318D3" w:rsidP="001B7B64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890200">
        <w:rPr>
          <w:rFonts w:ascii="Arial" w:hAnsi="Arial" w:cs="Arial"/>
          <w:bCs/>
          <w:i/>
          <w:sz w:val="16"/>
          <w:szCs w:val="24"/>
          <w:lang w:val="en-PH"/>
        </w:rPr>
        <w:t>*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The </w:t>
      </w:r>
      <w:r w:rsidR="00283C78">
        <w:rPr>
          <w:rFonts w:ascii="Arial" w:hAnsi="Arial" w:cs="Arial"/>
          <w:bCs/>
          <w:i/>
          <w:sz w:val="16"/>
          <w:szCs w:val="24"/>
          <w:lang w:val="en-PH"/>
        </w:rPr>
        <w:t>141 families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 displaced</w:t>
      </w:r>
      <w:r w:rsidR="00283C78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in </w:t>
      </w:r>
      <w:proofErr w:type="spellStart"/>
      <w:r w:rsidR="001B7B64">
        <w:rPr>
          <w:rFonts w:ascii="Arial" w:hAnsi="Arial" w:cs="Arial"/>
          <w:bCs/>
          <w:i/>
          <w:sz w:val="16"/>
          <w:szCs w:val="24"/>
          <w:lang w:val="en-PH"/>
        </w:rPr>
        <w:t>Pikit</w:t>
      </w:r>
      <w:proofErr w:type="spellEnd"/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, </w:t>
      </w:r>
      <w:proofErr w:type="spellStart"/>
      <w:r w:rsidR="001B7B64">
        <w:rPr>
          <w:rFonts w:ascii="Arial" w:hAnsi="Arial" w:cs="Arial"/>
          <w:bCs/>
          <w:i/>
          <w:sz w:val="16"/>
          <w:szCs w:val="24"/>
          <w:lang w:val="en-PH"/>
        </w:rPr>
        <w:t>Cotabato</w:t>
      </w:r>
      <w:proofErr w:type="spellEnd"/>
      <w:r w:rsid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283C78">
        <w:rPr>
          <w:rFonts w:ascii="Arial" w:hAnsi="Arial" w:cs="Arial"/>
          <w:bCs/>
          <w:i/>
          <w:sz w:val="16"/>
          <w:szCs w:val="24"/>
          <w:lang w:val="en-PH"/>
        </w:rPr>
        <w:t>were from</w:t>
      </w:r>
      <w:r w:rsidR="00283C78" w:rsidRPr="00283C78">
        <w:t xml:space="preserve"> </w:t>
      </w:r>
      <w:proofErr w:type="spellStart"/>
      <w:r w:rsidR="00283C78" w:rsidRPr="00283C78">
        <w:rPr>
          <w:rFonts w:ascii="Arial" w:hAnsi="Arial" w:cs="Arial"/>
          <w:bCs/>
          <w:i/>
          <w:sz w:val="16"/>
          <w:szCs w:val="24"/>
          <w:lang w:val="en-PH"/>
        </w:rPr>
        <w:t>Shariff</w:t>
      </w:r>
      <w:proofErr w:type="spellEnd"/>
      <w:r w:rsidR="00283C78" w:rsidRPr="00283C78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proofErr w:type="spellStart"/>
      <w:r w:rsidR="00283C78" w:rsidRPr="00283C78">
        <w:rPr>
          <w:rFonts w:ascii="Arial" w:hAnsi="Arial" w:cs="Arial"/>
          <w:bCs/>
          <w:i/>
          <w:sz w:val="16"/>
          <w:szCs w:val="24"/>
          <w:lang w:val="en-PH"/>
        </w:rPr>
        <w:t>Saydona</w:t>
      </w:r>
      <w:proofErr w:type="spellEnd"/>
      <w:r w:rsidR="00283C78" w:rsidRPr="00283C78">
        <w:rPr>
          <w:rFonts w:ascii="Arial" w:hAnsi="Arial" w:cs="Arial"/>
          <w:bCs/>
          <w:i/>
          <w:sz w:val="16"/>
          <w:szCs w:val="24"/>
          <w:lang w:val="en-PH"/>
        </w:rPr>
        <w:t xml:space="preserve"> Mustapha</w:t>
      </w:r>
      <w:r w:rsidR="00890200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:rsidR="00890200" w:rsidRPr="00E04AE5" w:rsidRDefault="00890200" w:rsidP="001B7B64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>**The decrease in the number of affected families or persons Outside ECs is based on the o</w:t>
      </w: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890200" w:rsidRPr="001B7B64" w:rsidRDefault="00890200" w:rsidP="00F51D1F">
      <w:pPr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</w:p>
    <w:p w:rsidR="00120A02" w:rsidRPr="00AE4967" w:rsidRDefault="00120A02" w:rsidP="00120A02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:rsidR="00120A02" w:rsidRPr="00606523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06523">
        <w:rPr>
          <w:rFonts w:ascii="Arial" w:eastAsia="Arial" w:hAnsi="Arial" w:cs="Arial"/>
          <w:color w:val="auto"/>
          <w:sz w:val="24"/>
          <w:szCs w:val="24"/>
        </w:rPr>
        <w:t>A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total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80329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3294">
        <w:rPr>
          <w:rFonts w:ascii="Arial" w:eastAsia="Arial" w:hAnsi="Arial" w:cs="Arial"/>
          <w:b/>
          <w:color w:val="0070C0"/>
          <w:sz w:val="24"/>
          <w:szCs w:val="24"/>
        </w:rPr>
        <w:t>327,297</w:t>
      </w:r>
      <w:r w:rsidR="0074289B" w:rsidRPr="00803294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="00E04AE5" w:rsidRPr="008032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worth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of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was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to</w:t>
      </w:r>
      <w:r w:rsidR="00E04AE5" w:rsidRPr="0060652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the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families</w:t>
      </w:r>
      <w:r w:rsidR="00803294">
        <w:rPr>
          <w:rFonts w:ascii="Arial" w:eastAsia="Arial" w:hAnsi="Arial" w:cs="Arial"/>
          <w:color w:val="auto"/>
          <w:sz w:val="24"/>
          <w:szCs w:val="24"/>
        </w:rPr>
        <w:t xml:space="preserve">; of which, </w:t>
      </w:r>
      <w:r w:rsidR="00803294" w:rsidRPr="0080329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3294" w:rsidRPr="00803294">
        <w:rPr>
          <w:rFonts w:ascii="Arial" w:eastAsia="Arial" w:hAnsi="Arial" w:cs="Arial"/>
          <w:b/>
          <w:color w:val="0070C0"/>
          <w:sz w:val="24"/>
          <w:szCs w:val="24"/>
        </w:rPr>
        <w:t xml:space="preserve">179,247.00 </w:t>
      </w:r>
      <w:r w:rsidR="00803294" w:rsidRPr="00803294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803294" w:rsidRPr="0080329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8032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03294" w:rsidRPr="00803294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803294" w:rsidRPr="0080329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03294" w:rsidRPr="00803294">
        <w:rPr>
          <w:rFonts w:ascii="Arial" w:eastAsia="Arial" w:hAnsi="Arial" w:cs="Arial"/>
          <w:b/>
          <w:color w:val="0070C0"/>
          <w:sz w:val="24"/>
          <w:szCs w:val="24"/>
        </w:rPr>
        <w:t>148,050.00</w:t>
      </w:r>
      <w:r w:rsidR="00803294" w:rsidRPr="00803294">
        <w:rPr>
          <w:rFonts w:ascii="Arial" w:eastAsia="Arial" w:hAnsi="Arial" w:cs="Arial"/>
          <w:color w:val="auto"/>
          <w:sz w:val="24"/>
          <w:szCs w:val="24"/>
        </w:rPr>
        <w:t xml:space="preserve"> from </w:t>
      </w:r>
      <w:r w:rsidR="00803294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803294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60652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06523">
        <w:rPr>
          <w:rFonts w:ascii="Arial" w:eastAsia="Arial" w:hAnsi="Arial" w:cs="Arial"/>
          <w:color w:val="auto"/>
          <w:sz w:val="24"/>
          <w:szCs w:val="24"/>
        </w:rPr>
        <w:t>4).</w:t>
      </w:r>
    </w:p>
    <w:p w:rsidR="00120A02" w:rsidRPr="00AE4967" w:rsidRDefault="00120A02" w:rsidP="00120A0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120A02" w:rsidRPr="009E72D8" w:rsidRDefault="00120A02" w:rsidP="00120A02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4.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of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Assistance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Provided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to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Affected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Families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/</w:t>
      </w:r>
      <w:r w:rsidR="00E04AE5"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9E72D8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Persons</w:t>
      </w:r>
    </w:p>
    <w:tbl>
      <w:tblPr>
        <w:tblW w:w="487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518"/>
        <w:gridCol w:w="1455"/>
        <w:gridCol w:w="1276"/>
        <w:gridCol w:w="1136"/>
        <w:gridCol w:w="1168"/>
        <w:gridCol w:w="1768"/>
      </w:tblGrid>
      <w:tr w:rsidR="00890200" w:rsidRPr="00890200" w:rsidTr="00890200">
        <w:trPr>
          <w:trHeight w:val="50"/>
        </w:trPr>
        <w:tc>
          <w:tcPr>
            <w:tcW w:w="1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90200" w:rsidRPr="00890200" w:rsidTr="00890200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90200" w:rsidRPr="00890200" w:rsidTr="00890200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179,247.00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327,297.00 </w:t>
            </w:r>
          </w:p>
        </w:tc>
      </w:tr>
      <w:tr w:rsidR="00890200" w:rsidRPr="00890200" w:rsidTr="00890200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</w:tr>
      <w:tr w:rsidR="00890200" w:rsidRPr="00890200" w:rsidTr="00890200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148,050.00 </w:t>
            </w:r>
          </w:p>
        </w:tc>
      </w:tr>
      <w:tr w:rsidR="00890200" w:rsidRPr="00890200" w:rsidTr="0089020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148,050.00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148,050.00 </w:t>
            </w:r>
          </w:p>
        </w:tc>
      </w:tr>
      <w:tr w:rsidR="00890200" w:rsidRPr="00890200" w:rsidTr="00890200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03294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890200"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179,247.00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179,247.00 </w:t>
            </w:r>
          </w:p>
        </w:tc>
      </w:tr>
      <w:tr w:rsidR="00890200" w:rsidRPr="00890200" w:rsidTr="00890200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0200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179,247.00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179,247.00 </w:t>
            </w:r>
          </w:p>
        </w:tc>
      </w:tr>
      <w:tr w:rsidR="00890200" w:rsidRPr="00890200" w:rsidTr="00890200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90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179,247.00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200" w:rsidRPr="00890200" w:rsidRDefault="00890200" w:rsidP="00890200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02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179,247.00 </w:t>
            </w:r>
          </w:p>
        </w:tc>
      </w:tr>
    </w:tbl>
    <w:p w:rsidR="00120A02" w:rsidRPr="001B7B64" w:rsidRDefault="00120A02" w:rsidP="00803294">
      <w:pPr>
        <w:pStyle w:val="NoSpacing1"/>
        <w:ind w:left="357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1B7B64">
        <w:rPr>
          <w:rFonts w:ascii="Arial" w:hAnsi="Arial" w:cs="Arial"/>
          <w:bCs/>
          <w:i/>
          <w:sz w:val="16"/>
          <w:szCs w:val="24"/>
          <w:lang w:val="en-PH"/>
        </w:rPr>
        <w:t>N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ote: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890200">
        <w:rPr>
          <w:rFonts w:ascii="Arial" w:hAnsi="Arial" w:cs="Arial"/>
          <w:bCs/>
          <w:i/>
          <w:sz w:val="16"/>
          <w:szCs w:val="24"/>
          <w:lang w:val="en-PH"/>
        </w:rPr>
        <w:t xml:space="preserve">The </w:t>
      </w:r>
      <w:r w:rsidR="00ED54D2">
        <w:rPr>
          <w:rFonts w:ascii="Arial" w:hAnsi="Arial" w:cs="Arial"/>
          <w:bCs/>
          <w:i/>
          <w:sz w:val="16"/>
          <w:szCs w:val="24"/>
          <w:lang w:val="en-PH"/>
        </w:rPr>
        <w:t>increase</w:t>
      </w:r>
      <w:r w:rsidR="00890200">
        <w:rPr>
          <w:rFonts w:ascii="Arial" w:hAnsi="Arial" w:cs="Arial"/>
          <w:bCs/>
          <w:i/>
          <w:sz w:val="16"/>
          <w:szCs w:val="24"/>
          <w:lang w:val="en-PH"/>
        </w:rPr>
        <w:t xml:space="preserve"> in the cost of assistance </w:t>
      </w:r>
      <w:r w:rsidR="00ED54D2">
        <w:rPr>
          <w:rFonts w:ascii="Arial" w:hAnsi="Arial" w:cs="Arial"/>
          <w:bCs/>
          <w:i/>
          <w:sz w:val="16"/>
          <w:szCs w:val="24"/>
          <w:lang w:val="en-PH"/>
        </w:rPr>
        <w:t xml:space="preserve">in </w:t>
      </w:r>
      <w:r w:rsidR="00890200">
        <w:rPr>
          <w:rFonts w:ascii="Arial" w:hAnsi="Arial" w:cs="Arial"/>
          <w:bCs/>
          <w:i/>
          <w:sz w:val="16"/>
          <w:szCs w:val="24"/>
          <w:lang w:val="en-PH"/>
        </w:rPr>
        <w:t xml:space="preserve">DSWD is based on the validated </w:t>
      </w:r>
      <w:r w:rsidR="00ED54D2">
        <w:rPr>
          <w:rFonts w:ascii="Arial" w:hAnsi="Arial" w:cs="Arial"/>
          <w:bCs/>
          <w:i/>
          <w:sz w:val="16"/>
          <w:szCs w:val="24"/>
          <w:lang w:val="en-PH"/>
        </w:rPr>
        <w:t>report submitted by DSWD-FO XII</w:t>
      </w:r>
      <w:r w:rsidR="00890200">
        <w:rPr>
          <w:rFonts w:ascii="Arial" w:hAnsi="Arial" w:cs="Arial"/>
          <w:bCs/>
          <w:i/>
          <w:sz w:val="16"/>
          <w:szCs w:val="24"/>
          <w:lang w:val="en-PH"/>
        </w:rPr>
        <w:t xml:space="preserve">.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Ongoing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assessment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and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validation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being</w:t>
      </w:r>
      <w:r w:rsidR="00E04AE5" w:rsidRPr="001B7B64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1B7B64">
        <w:rPr>
          <w:rFonts w:ascii="Arial" w:hAnsi="Arial" w:cs="Arial"/>
          <w:bCs/>
          <w:i/>
          <w:sz w:val="16"/>
          <w:szCs w:val="24"/>
          <w:lang w:val="en-PH"/>
        </w:rPr>
        <w:t>conducted.</w:t>
      </w:r>
    </w:p>
    <w:p w:rsidR="001B7B64" w:rsidRDefault="00120A02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803294" w:rsidRDefault="00803294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Default="00890200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F51D1F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890200" w:rsidP="008902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 September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803294" w:rsidRDefault="00890200" w:rsidP="00803294">
            <w:pPr>
              <w:pStyle w:val="ListParagraph"/>
              <w:numPr>
                <w:ilvl w:val="0"/>
                <w:numId w:val="11"/>
              </w:numPr>
              <w:ind w:left="316" w:hanging="316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E04AE5"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294" w:rsidRPr="00803294" w:rsidRDefault="00803294" w:rsidP="00803294">
            <w:pPr>
              <w:pStyle w:val="ListParagraph"/>
              <w:numPr>
                <w:ilvl w:val="0"/>
                <w:numId w:val="10"/>
              </w:numPr>
              <w:ind w:left="170" w:hanging="1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XII provided 447 family food p</w:t>
            </w:r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>ack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</w:t>
            </w:r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>Maguindanao</w:t>
            </w:r>
            <w:proofErr w:type="spellEnd"/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who were displaced in </w:t>
            </w:r>
            <w:proofErr w:type="spellStart"/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, North </w:t>
            </w:r>
            <w:proofErr w:type="spellStart"/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>Cotabato</w:t>
            </w:r>
            <w:proofErr w:type="spellEnd"/>
            <w:r w:rsidRPr="0080329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CD7DE8" w:rsidRPr="009E72D8" w:rsidRDefault="00B25F5C" w:rsidP="001B7B64">
            <w:pPr>
              <w:pStyle w:val="ListParagraph"/>
              <w:numPr>
                <w:ilvl w:val="0"/>
                <w:numId w:val="10"/>
              </w:numPr>
              <w:ind w:left="181" w:hanging="18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Division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LGU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CD7DE8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actual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validation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monitoring.</w:t>
            </w:r>
          </w:p>
        </w:tc>
      </w:tr>
    </w:tbl>
    <w:p w:rsidR="00803294" w:rsidRDefault="00803294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:rsidR="00803294" w:rsidRDefault="00803294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</w:p>
    <w:p w:rsidR="00803294" w:rsidRDefault="00803294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lastRenderedPageBreak/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Pr="00AE4967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1B7B64" w:rsidRPr="001B7B64" w:rsidRDefault="001B7B6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25F5C" w:rsidRPr="00AE4967" w:rsidRDefault="0080329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949BE" w:rsidRPr="00AE4967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9D394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51" w:rsidRDefault="00615651">
      <w:pPr>
        <w:spacing w:after="0" w:line="240" w:lineRule="auto"/>
      </w:pPr>
      <w:r>
        <w:separator/>
      </w:r>
    </w:p>
  </w:endnote>
  <w:endnote w:type="continuationSeparator" w:id="0">
    <w:p w:rsidR="00615651" w:rsidRDefault="0061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ED54D2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ED54D2">
      <w:rPr>
        <w:b/>
        <w:noProof/>
        <w:sz w:val="14"/>
        <w:szCs w:val="16"/>
      </w:rPr>
      <w:t>3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0D1CD4">
      <w:rPr>
        <w:sz w:val="14"/>
        <w:szCs w:val="16"/>
      </w:rPr>
      <w:t>3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C670C1" w:rsidRPr="000F4A2E">
      <w:rPr>
        <w:sz w:val="14"/>
        <w:szCs w:val="16"/>
      </w:rPr>
      <w:t xml:space="preserve">Displacement Due to </w:t>
    </w:r>
    <w:r w:rsidR="003D0AEA" w:rsidRPr="000F4A2E">
      <w:rPr>
        <w:sz w:val="14"/>
        <w:szCs w:val="16"/>
      </w:rPr>
      <w:t>Military O</w:t>
    </w:r>
    <w:r w:rsidR="00C670C1" w:rsidRPr="000F4A2E">
      <w:rPr>
        <w:sz w:val="14"/>
        <w:szCs w:val="16"/>
      </w:rPr>
      <w:t xml:space="preserve">perations in </w:t>
    </w:r>
    <w:proofErr w:type="spellStart"/>
    <w:r w:rsidR="00DD4B8F" w:rsidRPr="000F4A2E">
      <w:rPr>
        <w:sz w:val="14"/>
        <w:szCs w:val="16"/>
      </w:rPr>
      <w:t>Shariff</w:t>
    </w:r>
    <w:proofErr w:type="spellEnd"/>
    <w:r w:rsidR="00DD4B8F" w:rsidRPr="000F4A2E">
      <w:rPr>
        <w:sz w:val="14"/>
        <w:szCs w:val="16"/>
      </w:rPr>
      <w:t xml:space="preserve"> </w:t>
    </w:r>
    <w:proofErr w:type="spellStart"/>
    <w:r w:rsidR="00DD4B8F" w:rsidRPr="000F4A2E">
      <w:rPr>
        <w:sz w:val="14"/>
        <w:szCs w:val="16"/>
      </w:rPr>
      <w:t>Saydona</w:t>
    </w:r>
    <w:proofErr w:type="spellEnd"/>
    <w:r w:rsidR="00DD4B8F" w:rsidRPr="000F4A2E">
      <w:rPr>
        <w:sz w:val="14"/>
        <w:szCs w:val="16"/>
      </w:rPr>
      <w:t xml:space="preserve"> Mustapha, </w:t>
    </w:r>
    <w:proofErr w:type="spellStart"/>
    <w:r w:rsidR="00C670C1" w:rsidRPr="000F4A2E">
      <w:rPr>
        <w:sz w:val="14"/>
        <w:szCs w:val="16"/>
      </w:rPr>
      <w:t>Maguindanao</w:t>
    </w:r>
    <w:proofErr w:type="spellEnd"/>
    <w:r w:rsidR="00C670C1" w:rsidRPr="000F4A2E">
      <w:rPr>
        <w:sz w:val="14"/>
        <w:szCs w:val="16"/>
      </w:rPr>
      <w:t xml:space="preserve"> as of </w:t>
    </w:r>
    <w:r w:rsidR="000D1CD4">
      <w:rPr>
        <w:sz w:val="14"/>
        <w:szCs w:val="16"/>
      </w:rPr>
      <w:t>20 September</w:t>
    </w:r>
    <w:r w:rsidR="00C670C1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2019,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51" w:rsidRDefault="00615651">
      <w:pPr>
        <w:spacing w:after="0" w:line="240" w:lineRule="auto"/>
      </w:pPr>
      <w:r>
        <w:separator/>
      </w:r>
    </w:p>
  </w:footnote>
  <w:footnote w:type="continuationSeparator" w:id="0">
    <w:p w:rsidR="00615651" w:rsidRDefault="0061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12AB"/>
    <w:rsid w:val="000A69B3"/>
    <w:rsid w:val="000D1757"/>
    <w:rsid w:val="000D1CD4"/>
    <w:rsid w:val="000E548F"/>
    <w:rsid w:val="000F4A2E"/>
    <w:rsid w:val="00111B24"/>
    <w:rsid w:val="0011327B"/>
    <w:rsid w:val="00120A02"/>
    <w:rsid w:val="00133832"/>
    <w:rsid w:val="00162EFA"/>
    <w:rsid w:val="001B52C5"/>
    <w:rsid w:val="001B7B64"/>
    <w:rsid w:val="001F3F13"/>
    <w:rsid w:val="001F4B02"/>
    <w:rsid w:val="001F5D51"/>
    <w:rsid w:val="00201A4B"/>
    <w:rsid w:val="00213534"/>
    <w:rsid w:val="00283C78"/>
    <w:rsid w:val="00286609"/>
    <w:rsid w:val="002977DD"/>
    <w:rsid w:val="002E1F6A"/>
    <w:rsid w:val="002E273A"/>
    <w:rsid w:val="002E75E9"/>
    <w:rsid w:val="00305F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F06EB"/>
    <w:rsid w:val="0041370B"/>
    <w:rsid w:val="00437650"/>
    <w:rsid w:val="004639B5"/>
    <w:rsid w:val="00464077"/>
    <w:rsid w:val="00464B6C"/>
    <w:rsid w:val="00470FE4"/>
    <w:rsid w:val="004713E2"/>
    <w:rsid w:val="004B229B"/>
    <w:rsid w:val="004B2B7C"/>
    <w:rsid w:val="004C0A5D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4063A"/>
    <w:rsid w:val="006612E6"/>
    <w:rsid w:val="006924ED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A20F1"/>
    <w:rsid w:val="007C48A2"/>
    <w:rsid w:val="007C792F"/>
    <w:rsid w:val="007D54CF"/>
    <w:rsid w:val="007D7E2B"/>
    <w:rsid w:val="007E2A51"/>
    <w:rsid w:val="007E6117"/>
    <w:rsid w:val="007F1365"/>
    <w:rsid w:val="00803294"/>
    <w:rsid w:val="00830BFD"/>
    <w:rsid w:val="00875F87"/>
    <w:rsid w:val="00890200"/>
    <w:rsid w:val="008B44A7"/>
    <w:rsid w:val="008C4054"/>
    <w:rsid w:val="008D47B8"/>
    <w:rsid w:val="009120BA"/>
    <w:rsid w:val="009246DE"/>
    <w:rsid w:val="00930B8F"/>
    <w:rsid w:val="00937C09"/>
    <w:rsid w:val="00945747"/>
    <w:rsid w:val="0095307E"/>
    <w:rsid w:val="0095416E"/>
    <w:rsid w:val="00975608"/>
    <w:rsid w:val="009B3E46"/>
    <w:rsid w:val="009D3941"/>
    <w:rsid w:val="009E72D8"/>
    <w:rsid w:val="00A07CC1"/>
    <w:rsid w:val="00A22603"/>
    <w:rsid w:val="00A35600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502F"/>
    <w:rsid w:val="00BB3E5B"/>
    <w:rsid w:val="00BF446F"/>
    <w:rsid w:val="00BF5B14"/>
    <w:rsid w:val="00C240FB"/>
    <w:rsid w:val="00C335E5"/>
    <w:rsid w:val="00C34052"/>
    <w:rsid w:val="00C670C1"/>
    <w:rsid w:val="00C71101"/>
    <w:rsid w:val="00C760D1"/>
    <w:rsid w:val="00C865F8"/>
    <w:rsid w:val="00C97971"/>
    <w:rsid w:val="00CA4B8C"/>
    <w:rsid w:val="00CC3453"/>
    <w:rsid w:val="00CD7DE8"/>
    <w:rsid w:val="00CE07C6"/>
    <w:rsid w:val="00D241F6"/>
    <w:rsid w:val="00D26E8D"/>
    <w:rsid w:val="00D30B5C"/>
    <w:rsid w:val="00D6202F"/>
    <w:rsid w:val="00D63239"/>
    <w:rsid w:val="00D6454A"/>
    <w:rsid w:val="00DA15B5"/>
    <w:rsid w:val="00DD4B8F"/>
    <w:rsid w:val="00DD74AB"/>
    <w:rsid w:val="00DD7D90"/>
    <w:rsid w:val="00DF3AD7"/>
    <w:rsid w:val="00DF6589"/>
    <w:rsid w:val="00E04AE5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51D1F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1600F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D436-38FF-4B4B-96A7-0D49D33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2019-09-20T08:28:00Z</dcterms:created>
  <dcterms:modified xsi:type="dcterms:W3CDTF">2019-09-20T09:16:00Z</dcterms:modified>
</cp:coreProperties>
</file>