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26F73F" w14:textId="77777777" w:rsidR="00A45027" w:rsidRPr="00EC3360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>
        <w:rPr>
          <w:rFonts w:ascii="Arial" w:eastAsia="Arial" w:hAnsi="Arial" w:cs="Arial"/>
          <w:b/>
          <w:sz w:val="32"/>
          <w:szCs w:val="24"/>
        </w:rPr>
        <w:t xml:space="preserve">1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29E7EC1A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83468">
        <w:rPr>
          <w:rFonts w:ascii="Arial" w:eastAsia="Arial" w:hAnsi="Arial" w:cs="Arial"/>
          <w:b/>
          <w:sz w:val="32"/>
          <w:szCs w:val="24"/>
        </w:rPr>
        <w:t xml:space="preserve">Southwest Monsoon enhanced by LPA </w:t>
      </w:r>
    </w:p>
    <w:p w14:paraId="41596E79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3360"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01 September </w:t>
      </w:r>
      <w:r w:rsidRPr="00EC3360"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4PM</w:t>
      </w:r>
    </w:p>
    <w:p w14:paraId="1EEFE74F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48982E2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A6F195A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14:paraId="732C7845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0C0EE276" w14:textId="2D4FC74C" w:rsidR="00A45027" w:rsidRPr="00183468" w:rsidRDefault="00A45027" w:rsidP="00A45027">
      <w:pPr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  <w:r w:rsidRPr="00183468">
        <w:rPr>
          <w:rFonts w:ascii="Arial" w:hAnsi="Arial" w:cs="Arial"/>
          <w:sz w:val="24"/>
          <w:szCs w:val="24"/>
        </w:rPr>
        <w:t>At 3:00 AM today, the center of</w:t>
      </w:r>
      <w:r>
        <w:rPr>
          <w:rFonts w:ascii="Arial" w:hAnsi="Arial" w:cs="Arial"/>
          <w:sz w:val="24"/>
          <w:szCs w:val="24"/>
        </w:rPr>
        <w:t xml:space="preserve"> </w:t>
      </w:r>
      <w:r w:rsidRPr="00183468">
        <w:rPr>
          <w:rFonts w:ascii="Arial" w:hAnsi="Arial" w:cs="Arial"/>
          <w:sz w:val="24"/>
          <w:szCs w:val="24"/>
        </w:rPr>
        <w:t xml:space="preserve">Tropical Depression " </w:t>
      </w:r>
      <w:proofErr w:type="spellStart"/>
      <w:r w:rsidRPr="00183468">
        <w:rPr>
          <w:rFonts w:ascii="Arial" w:hAnsi="Arial" w:cs="Arial"/>
          <w:sz w:val="24"/>
          <w:szCs w:val="24"/>
        </w:rPr>
        <w:t>Kabayan</w:t>
      </w:r>
      <w:proofErr w:type="spellEnd"/>
      <w:r w:rsidRPr="00183468">
        <w:rPr>
          <w:rFonts w:ascii="Arial" w:hAnsi="Arial" w:cs="Arial"/>
          <w:sz w:val="24"/>
          <w:szCs w:val="24"/>
        </w:rPr>
        <w:t xml:space="preserve">" was estimated based on all available data at 335°km West Northwest° of Aparri, Cagayan or at 300 km West of </w:t>
      </w:r>
      <w:proofErr w:type="spellStart"/>
      <w:r w:rsidRPr="00183468">
        <w:rPr>
          <w:rFonts w:ascii="Arial" w:hAnsi="Arial" w:cs="Arial"/>
          <w:sz w:val="24"/>
          <w:szCs w:val="24"/>
        </w:rPr>
        <w:t>Calayan</w:t>
      </w:r>
      <w:proofErr w:type="spellEnd"/>
      <w:r w:rsidRPr="00183468">
        <w:rPr>
          <w:rFonts w:ascii="Arial" w:hAnsi="Arial" w:cs="Arial"/>
          <w:sz w:val="24"/>
          <w:szCs w:val="24"/>
        </w:rPr>
        <w:t>, Cagayan</w:t>
      </w:r>
      <w:r>
        <w:rPr>
          <w:rFonts w:ascii="Arial" w:hAnsi="Arial" w:cs="Arial"/>
          <w:sz w:val="24"/>
          <w:szCs w:val="24"/>
        </w:rPr>
        <w:t xml:space="preserve"> </w:t>
      </w:r>
      <w:r w:rsidRPr="00183468">
        <w:rPr>
          <w:rFonts w:ascii="Arial" w:hAnsi="Arial" w:cs="Arial"/>
          <w:sz w:val="24"/>
          <w:szCs w:val="24"/>
        </w:rPr>
        <w:t>(19.2°N, 118.6°E) with maximum sustained winds of 55 km/h near the center and gustiness of up to 70 km/h.</w:t>
      </w:r>
      <w:r>
        <w:rPr>
          <w:rFonts w:ascii="Arial" w:hAnsi="Arial" w:cs="Arial"/>
          <w:sz w:val="24"/>
          <w:szCs w:val="24"/>
        </w:rPr>
        <w:t xml:space="preserve"> </w:t>
      </w:r>
      <w:r w:rsidRPr="00183468">
        <w:rPr>
          <w:rFonts w:ascii="Arial" w:hAnsi="Arial" w:cs="Arial"/>
          <w:sz w:val="24"/>
          <w:szCs w:val="24"/>
        </w:rPr>
        <w:t>It is moving</w:t>
      </w:r>
      <w:r>
        <w:rPr>
          <w:rFonts w:ascii="Arial" w:hAnsi="Arial" w:cs="Arial"/>
          <w:sz w:val="24"/>
          <w:szCs w:val="24"/>
        </w:rPr>
        <w:t xml:space="preserve"> </w:t>
      </w:r>
      <w:r w:rsidRPr="00183468">
        <w:rPr>
          <w:rFonts w:ascii="Arial" w:hAnsi="Arial" w:cs="Arial"/>
          <w:sz w:val="24"/>
          <w:szCs w:val="24"/>
        </w:rPr>
        <w:t>West at 20 km/h. Meanwhile another Low Pressure Area (LPA) was estimated based on all available data at 625 km East</w:t>
      </w:r>
      <w:r>
        <w:rPr>
          <w:rFonts w:ascii="Arial" w:hAnsi="Arial" w:cs="Arial"/>
          <w:sz w:val="24"/>
          <w:szCs w:val="24"/>
        </w:rPr>
        <w:t xml:space="preserve"> </w:t>
      </w:r>
      <w:r w:rsidRPr="00183468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183468">
        <w:rPr>
          <w:rFonts w:ascii="Arial" w:hAnsi="Arial" w:cs="Arial"/>
          <w:sz w:val="24"/>
          <w:szCs w:val="24"/>
        </w:rPr>
        <w:t>Hinatuan</w:t>
      </w:r>
      <w:proofErr w:type="spellEnd"/>
      <w:r w:rsidRPr="001834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3468">
        <w:rPr>
          <w:rFonts w:ascii="Arial" w:hAnsi="Arial" w:cs="Arial"/>
          <w:sz w:val="24"/>
          <w:szCs w:val="24"/>
        </w:rPr>
        <w:t>Surigao</w:t>
      </w:r>
      <w:proofErr w:type="spellEnd"/>
      <w:r w:rsidRPr="001834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3468">
        <w:rPr>
          <w:rFonts w:ascii="Arial" w:hAnsi="Arial" w:cs="Arial"/>
          <w:sz w:val="24"/>
          <w:szCs w:val="24"/>
        </w:rPr>
        <w:t>del</w:t>
      </w:r>
      <w:proofErr w:type="gramEnd"/>
      <w:r w:rsidRPr="00183468">
        <w:rPr>
          <w:rFonts w:ascii="Arial" w:hAnsi="Arial" w:cs="Arial"/>
          <w:sz w:val="24"/>
          <w:szCs w:val="24"/>
        </w:rPr>
        <w:t xml:space="preserve"> Sur (8.9°N, 132.0°E). Southwest Monsoon affecting the western section of Luzon.</w:t>
      </w:r>
    </w:p>
    <w:p w14:paraId="321271DB" w14:textId="77777777" w:rsidR="00A45027" w:rsidRPr="005D6574" w:rsidRDefault="00A45027" w:rsidP="00A45027">
      <w:pPr>
        <w:pStyle w:val="NormalWeb"/>
        <w:spacing w:beforeAutospacing="0" w:afterAutospacing="0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08A69FC0" w14:textId="77777777" w:rsidR="00A45027" w:rsidRPr="002F1245" w:rsidRDefault="00A45027" w:rsidP="00A45027">
      <w:pPr>
        <w:numPr>
          <w:ilvl w:val="0"/>
          <w:numId w:val="18"/>
        </w:num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4B3D45" w14:textId="3CA81C32" w:rsidR="00A45027" w:rsidRPr="00300077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5B7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C368D" w:rsidRPr="00AC368D">
        <w:rPr>
          <w:rFonts w:ascii="Arial" w:eastAsia="Arial" w:hAnsi="Arial" w:cs="Arial"/>
          <w:b/>
          <w:color w:val="0070C0"/>
          <w:sz w:val="24"/>
          <w:szCs w:val="24"/>
        </w:rPr>
        <w:t xml:space="preserve">2,866 </w:t>
      </w:r>
      <w:r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368D" w:rsidRPr="00AC368D">
        <w:rPr>
          <w:rFonts w:ascii="Arial" w:eastAsia="Arial" w:hAnsi="Arial" w:cs="Arial"/>
          <w:b/>
          <w:color w:val="0070C0"/>
          <w:sz w:val="24"/>
          <w:szCs w:val="24"/>
        </w:rPr>
        <w:t xml:space="preserve">9,597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C368D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="000144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4D2" w:rsidRPr="000144D2">
        <w:rPr>
          <w:rFonts w:ascii="Arial" w:eastAsia="Arial" w:hAnsi="Arial" w:cs="Arial"/>
          <w:sz w:val="24"/>
          <w:szCs w:val="24"/>
        </w:rPr>
        <w:t>and</w:t>
      </w:r>
      <w:r w:rsidR="000144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4D2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0144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sz w:val="24"/>
          <w:szCs w:val="24"/>
        </w:rPr>
        <w:t xml:space="preserve">in </w:t>
      </w:r>
      <w:r w:rsidRPr="000144D2">
        <w:rPr>
          <w:rFonts w:ascii="Arial" w:eastAsia="Arial" w:hAnsi="Arial" w:cs="Arial"/>
          <w:b/>
          <w:color w:val="0070C0"/>
          <w:sz w:val="24"/>
          <w:szCs w:val="24"/>
        </w:rPr>
        <w:t>Region I</w:t>
      </w:r>
      <w:r w:rsidRPr="0030007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sz w:val="24"/>
          <w:szCs w:val="24"/>
        </w:rPr>
        <w:t>(see Table 1).</w:t>
      </w:r>
    </w:p>
    <w:p w14:paraId="107A8CEF" w14:textId="77777777" w:rsidR="00A45027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487D72E2" w14:textId="77777777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447"/>
        <w:gridCol w:w="4177"/>
        <w:gridCol w:w="1733"/>
        <w:gridCol w:w="1420"/>
        <w:gridCol w:w="1420"/>
      </w:tblGrid>
      <w:tr w:rsidR="00AC368D" w:rsidRPr="00AC368D" w14:paraId="167E594F" w14:textId="77777777" w:rsidTr="00AC368D">
        <w:trPr>
          <w:trHeight w:val="7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B7E9F4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71E9D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C368D" w:rsidRPr="00AC368D" w14:paraId="3635AC3C" w14:textId="77777777" w:rsidTr="00AC368D">
        <w:trPr>
          <w:trHeight w:val="7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407E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DA1D1C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9B6E0C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D9A903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368D" w:rsidRPr="00AC368D" w14:paraId="7E94963D" w14:textId="77777777" w:rsidTr="00AC368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830B6" w14:textId="77777777" w:rsidR="00AC368D" w:rsidRPr="00AC368D" w:rsidRDefault="00AC368D" w:rsidP="00AC368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196EE" w14:textId="169AB7E9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CFA6" w14:textId="7884BC55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F5ED12" w14:textId="3F899AAE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AC368D" w14:paraId="1EA980B5" w14:textId="77777777" w:rsidTr="00AC368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4A609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2751F" w14:textId="4DF59C04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3F589" w14:textId="528E70A3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EF6959" w14:textId="0B41CB8D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AC368D" w14:paraId="7AA9F761" w14:textId="77777777" w:rsidTr="00AC368D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B5F84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C3AE6" w14:textId="78F07D2B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C4B43" w14:textId="5FF57E4F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05502" w14:textId="2DA7280E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AC368D" w14:paraId="7AA822C7" w14:textId="77777777" w:rsidTr="00AC368D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3348" w14:textId="77777777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327E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BD60" w14:textId="75B2F9FF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EF28" w14:textId="1368597D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9EDC" w14:textId="245E35C9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571 </w:t>
            </w:r>
          </w:p>
        </w:tc>
      </w:tr>
      <w:tr w:rsidR="00AC368D" w:rsidRPr="00AC368D" w14:paraId="1E6D6DC8" w14:textId="77777777" w:rsidTr="00AC368D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29BA" w14:textId="77777777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7ABF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B161" w14:textId="5908F781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8E5C" w14:textId="6615C2AA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880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3B23" w14:textId="09353268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2,881 </w:t>
            </w:r>
          </w:p>
        </w:tc>
      </w:tr>
      <w:tr w:rsidR="00AC368D" w:rsidRPr="00AC368D" w14:paraId="538F4FD9" w14:textId="77777777" w:rsidTr="00AC368D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950BE" w14:textId="77777777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86FA" w14:textId="77777777" w:rsidR="00AC368D" w:rsidRPr="00AC368D" w:rsidRDefault="00AC368D" w:rsidP="00AC368D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68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0B9E" w14:textId="25FC9ACF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B4B2" w14:textId="73824977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1,810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D3B9" w14:textId="4856C851" w:rsidR="00AC368D" w:rsidRPr="00AC368D" w:rsidRDefault="00AC368D" w:rsidP="00AC368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C368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6,145 </w:t>
            </w:r>
          </w:p>
        </w:tc>
      </w:tr>
    </w:tbl>
    <w:p w14:paraId="34FECC1A" w14:textId="411D2189" w:rsidR="00A45027" w:rsidRPr="00A331D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Pr="00694B22">
        <w:rPr>
          <w:rFonts w:ascii="Arial" w:eastAsia="Arial" w:hAnsi="Arial" w:cs="Arial"/>
          <w:i/>
          <w:sz w:val="16"/>
          <w:szCs w:val="24"/>
        </w:rPr>
        <w:t>Note: Ongoing assessment and validation.</w:t>
      </w:r>
    </w:p>
    <w:p w14:paraId="2DE8E2B4" w14:textId="77777777" w:rsidR="00A45027" w:rsidRPr="00A331D7" w:rsidRDefault="00A45027" w:rsidP="00A4502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FO-I</w:t>
      </w:r>
    </w:p>
    <w:p w14:paraId="5A4DE463" w14:textId="77777777" w:rsidR="00A45027" w:rsidRDefault="00A45027" w:rsidP="00A45027">
      <w:pPr>
        <w:spacing w:after="0" w:line="240" w:lineRule="auto"/>
        <w:ind w:firstLine="720"/>
        <w:contextualSpacing/>
        <w:rPr>
          <w:rFonts w:ascii="Arial" w:eastAsia="Arial" w:hAnsi="Arial" w:cs="Arial"/>
          <w:i/>
          <w:sz w:val="16"/>
          <w:szCs w:val="24"/>
        </w:rPr>
      </w:pPr>
    </w:p>
    <w:p w14:paraId="793F915D" w14:textId="706E04F3" w:rsidR="00A45027" w:rsidRPr="002F1245" w:rsidRDefault="00A45027" w:rsidP="00A45027">
      <w:pPr>
        <w:pStyle w:val="ListParagraph"/>
        <w:numPr>
          <w:ilvl w:val="0"/>
          <w:numId w:val="18"/>
        </w:numPr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C368D">
        <w:rPr>
          <w:rFonts w:ascii="Arial" w:eastAsia="Arial" w:hAnsi="Arial" w:cs="Arial"/>
          <w:b/>
          <w:color w:val="002060"/>
          <w:sz w:val="24"/>
          <w:szCs w:val="24"/>
        </w:rPr>
        <w:t xml:space="preserve"> Inside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EC </w:t>
      </w:r>
      <w:r w:rsidRPr="002F1245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sz w:val="24"/>
          <w:szCs w:val="24"/>
        </w:rPr>
        <w:t>)</w:t>
      </w:r>
    </w:p>
    <w:p w14:paraId="16B8901A" w14:textId="77777777" w:rsidR="00A45027" w:rsidRPr="002F1245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7CFDE7" w14:textId="7A66BB82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</w:t>
      </w: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ECs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0"/>
        <w:gridCol w:w="3241"/>
        <w:gridCol w:w="1259"/>
        <w:gridCol w:w="1257"/>
        <w:gridCol w:w="718"/>
        <w:gridCol w:w="966"/>
        <w:gridCol w:w="655"/>
        <w:gridCol w:w="835"/>
      </w:tblGrid>
      <w:tr w:rsidR="00A45027" w:rsidRPr="00A45027" w14:paraId="6597ACAF" w14:textId="77777777" w:rsidTr="00AC368D">
        <w:trPr>
          <w:trHeight w:val="70"/>
        </w:trPr>
        <w:tc>
          <w:tcPr>
            <w:tcW w:w="19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F253F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74AD7D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078D1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45027" w:rsidRPr="00A45027" w14:paraId="28102053" w14:textId="77777777" w:rsidTr="00AC368D">
        <w:trPr>
          <w:trHeight w:val="219"/>
        </w:trPr>
        <w:tc>
          <w:tcPr>
            <w:tcW w:w="19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A25A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16AF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37160E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561929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027" w:rsidRPr="00A45027" w14:paraId="5172ABB6" w14:textId="77777777" w:rsidTr="00AC368D">
        <w:trPr>
          <w:trHeight w:val="20"/>
        </w:trPr>
        <w:tc>
          <w:tcPr>
            <w:tcW w:w="19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F3F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7F551D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12056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2652D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03268" w14:textId="63DABE9F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AAF6C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8B4F3" w14:textId="59CFD4CB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A45027" w:rsidRPr="00A45027" w14:paraId="7A50A6B4" w14:textId="77777777" w:rsidTr="00AC368D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2FC09" w14:textId="77777777" w:rsidR="00A45027" w:rsidRPr="00A45027" w:rsidRDefault="00A45027" w:rsidP="00A450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BB9A4" w14:textId="274813F1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D9048" w14:textId="18B1DA73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513D7" w14:textId="345C5ADD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6F859" w14:textId="0BAB6BB7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22E9F" w14:textId="3831354A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35DC2" w14:textId="4D5E1D90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A45027" w14:paraId="69971CA8" w14:textId="77777777" w:rsidTr="00AC368D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82F52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C0DDE" w14:textId="696EF1D1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CD685" w14:textId="40343332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E60C4" w14:textId="26144782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31EBE" w14:textId="796AD4E1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F19D7" w14:textId="765CEEB2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3D7F" w14:textId="71B4B3A3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A45027" w14:paraId="2589F83C" w14:textId="77777777" w:rsidTr="00AC368D">
        <w:trPr>
          <w:trHeight w:val="2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34C0B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3B3A" w14:textId="63588F94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1C3B" w14:textId="76FE7134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1B62A" w14:textId="6A63F11C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1B9C" w14:textId="4A8C94BA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0BE8" w14:textId="18CE02C8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BB41F" w14:textId="4033327B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A45027" w14:paraId="4106E670" w14:textId="77777777" w:rsidTr="00AC368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C9A6" w14:textId="77777777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B375" w14:textId="77777777" w:rsidR="00A45027" w:rsidRPr="00A45027" w:rsidRDefault="00A45027" w:rsidP="00A450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44A" w14:textId="37B3502F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AFB" w14:textId="1CF12E1B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  <w:r w:rsidR="00A45027"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FB2" w14:textId="3D3FABD3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0158" w14:textId="4346C834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50DA" w14:textId="370A5FD8" w:rsidR="00A45027" w:rsidRPr="00A45027" w:rsidRDefault="00A45027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AC3" w14:textId="1B10FE73" w:rsidR="00A45027" w:rsidRPr="00A45027" w:rsidRDefault="00AC368D" w:rsidP="00A450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0</w:t>
            </w:r>
            <w:r w:rsidR="00A45027" w:rsidRPr="00A450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29F130" w14:textId="4FB9E16E" w:rsidR="00A4502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290A0F35" w14:textId="77777777" w:rsidR="00A45027" w:rsidRDefault="00A45027" w:rsidP="00A4502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3716BE6A" w14:textId="77777777" w:rsidR="00A45027" w:rsidRPr="0043209E" w:rsidRDefault="00A45027" w:rsidP="00A450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14:paraId="7E93CBA2" w14:textId="77777777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14:paraId="06F811F9" w14:textId="77777777" w:rsidR="00A45027" w:rsidRPr="00EC3360" w:rsidRDefault="00A45027" w:rsidP="00A450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91"/>
        <w:gridCol w:w="7952"/>
      </w:tblGrid>
      <w:tr w:rsidR="00A45027" w:rsidRPr="0043209E" w14:paraId="4C3CEE0B" w14:textId="77777777" w:rsidTr="00E16FCD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62458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D2839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45027" w:rsidRPr="00694B22" w14:paraId="35857E64" w14:textId="77777777" w:rsidTr="00E16FCD">
        <w:trPr>
          <w:trHeight w:val="55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505F2" w14:textId="0757AFD5" w:rsidR="00A45027" w:rsidRPr="00A45027" w:rsidRDefault="00A45027" w:rsidP="00A45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A4502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Pr="00A45027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1E89D" w14:textId="676FCEF8" w:rsidR="00A45027" w:rsidRPr="00A45027" w:rsidRDefault="00A45027" w:rsidP="00A4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27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4502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DSWD-Field Offices for significant disaster preparedness for response updates.</w:t>
            </w:r>
          </w:p>
        </w:tc>
      </w:tr>
    </w:tbl>
    <w:p w14:paraId="5D4E9460" w14:textId="491C65F2" w:rsidR="00A45027" w:rsidRDefault="00A45027" w:rsidP="00A45027">
      <w:pPr>
        <w:tabs>
          <w:tab w:val="left" w:pos="5547"/>
          <w:tab w:val="left" w:pos="66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CFC1654" w14:textId="6D421B1B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923"/>
      </w:tblGrid>
      <w:tr w:rsidR="00A45027" w:rsidRPr="002345FE" w14:paraId="45217FFB" w14:textId="77777777" w:rsidTr="00E16FCD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7CE5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11B7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63E37E78" w14:textId="77777777" w:rsidTr="00E16FCD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AC9B" w14:textId="77777777" w:rsidR="00A45027" w:rsidRPr="00694B22" w:rsidRDefault="00A45027" w:rsidP="00E16FC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01 September </w:t>
            </w:r>
            <w:r w:rsidRPr="00694B22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8E53" w14:textId="77777777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QRT are advised to be on standby and on-call.</w:t>
            </w:r>
          </w:p>
          <w:p w14:paraId="1DFAE34A" w14:textId="3721E2BD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The Provincial Social Welfare and Development Teams (PSWADT) DRMD PDO IIs </w:t>
            </w:r>
            <w:proofErr w:type="gram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are alerted</w:t>
            </w:r>
            <w:proofErr w:type="gram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, members are on </w:t>
            </w:r>
            <w:r w:rsidR="000144D2" w:rsidRPr="00A45027">
              <w:rPr>
                <w:rFonts w:ascii="Arial" w:hAnsi="Arial" w:cs="Arial"/>
                <w:color w:val="0070C0"/>
                <w:sz w:val="20"/>
                <w:szCs w:val="20"/>
              </w:rPr>
              <w:t>standby</w:t>
            </w: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possible effects of the weather disturbances.</w:t>
            </w:r>
          </w:p>
          <w:p w14:paraId="3CEE5F41" w14:textId="77777777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Municipal Action Teams are on alert and on standby. </w:t>
            </w:r>
          </w:p>
          <w:p w14:paraId="1FC9247F" w14:textId="77777777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Continuous coordination by the DRMD PDO IIs assigned in the PSWADTs with the LDRRMOs for updates;</w:t>
            </w:r>
          </w:p>
          <w:p w14:paraId="0289D47D" w14:textId="77777777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Rapid Emergency Telecommunications Team (RETT) including the International Maritime/Marine Satellite (INMARSAT) equipment are on standby.</w:t>
            </w:r>
          </w:p>
          <w:p w14:paraId="7CA9634C" w14:textId="77777777" w:rsidR="00A45027" w:rsidRPr="00A45027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Blue Alert Level Status.</w:t>
            </w:r>
          </w:p>
          <w:p w14:paraId="3FE589C7" w14:textId="09535B0B" w:rsidR="00A45027" w:rsidRPr="00F42E4A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Closely coordinating with the Emergency Operations Center of the Cordillera Disaster Risk Reduction and Management Council for updates and situations they are receiving from various agencies.</w:t>
            </w:r>
          </w:p>
        </w:tc>
      </w:tr>
    </w:tbl>
    <w:p w14:paraId="796FA029" w14:textId="77777777" w:rsidR="00A45027" w:rsidRDefault="00A45027" w:rsidP="00A450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6036C9" w14:textId="42F7F52F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923"/>
      </w:tblGrid>
      <w:tr w:rsidR="00A45027" w:rsidRPr="002345FE" w14:paraId="29B5465D" w14:textId="77777777" w:rsidTr="00E16FCD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7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416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1846AF5E" w14:textId="77777777" w:rsidTr="00E16FCD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17A2" w14:textId="4687CAA0" w:rsidR="00A45027" w:rsidRPr="00694B22" w:rsidRDefault="00A45027" w:rsidP="00A4502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01 September </w:t>
            </w:r>
            <w:r w:rsidRPr="00694B22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4EA" w14:textId="043CDD76" w:rsidR="00A45027" w:rsidRPr="00F42E4A" w:rsidRDefault="00A45027" w:rsidP="00A45027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Social Welfare and Development (SWAD) Team Leaders, the Provincial/City/Municipal Disaster Risk Reduction and Management Councils (P/C/MDRRMCs) and Provincial/City/Municipal Social Welfare and Development Offices (P/C/MSWDOs), 2,738 families with 12,148 individuals are affected due to flooding in Batac City, Currimao, and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Paoay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Ilocos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Norte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. Likewise, one (1) evacuation center is catering 10 families with 27 individuals from Barangay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Barani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Ricarte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, Batac City,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Ilocos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Norte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due to the overflowing </w:t>
            </w:r>
            <w:proofErr w:type="spell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Quiaoit</w:t>
            </w:r>
            <w:proofErr w:type="spell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>river</w:t>
            </w:r>
            <w:proofErr w:type="gramEnd"/>
            <w:r w:rsidRPr="00A45027">
              <w:rPr>
                <w:rFonts w:ascii="Arial" w:hAnsi="Arial" w:cs="Arial"/>
                <w:color w:val="0070C0"/>
                <w:sz w:val="20"/>
                <w:szCs w:val="20"/>
              </w:rPr>
              <w:t xml:space="preserve"> brought by the continuous rains.</w:t>
            </w:r>
          </w:p>
        </w:tc>
      </w:tr>
    </w:tbl>
    <w:p w14:paraId="6AC27460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0F76ECD" w14:textId="77777777" w:rsidR="00A45027" w:rsidRPr="0043209E" w:rsidRDefault="00A45027" w:rsidP="00A450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14:paraId="31B55B01" w14:textId="67B1B5C6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502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monitoring the effects of Southwest Monsoon enhanced by LPA and is coordinating with the concerned DSWD-Field Offices for any significant updates.</w:t>
      </w:r>
    </w:p>
    <w:p w14:paraId="1570FD5F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976B56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FD8620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70F6931" w14:textId="77777777" w:rsidR="00A45027" w:rsidRPr="00EC3360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B4EE58" w14:textId="77777777" w:rsidR="00A45027" w:rsidRPr="00EC3360" w:rsidRDefault="00A45027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7A286EB9" w14:textId="77777777" w:rsidR="00A45027" w:rsidRPr="00857415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p w14:paraId="6568A730" w14:textId="3CC2CB33" w:rsidR="005F3D98" w:rsidRPr="00A45027" w:rsidRDefault="005F3D98" w:rsidP="00A45027"/>
    <w:sectPr w:rsidR="005F3D98" w:rsidRPr="00A4502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C9F2" w14:textId="77777777" w:rsidR="00483ABE" w:rsidRDefault="00483ABE">
      <w:pPr>
        <w:spacing w:after="0" w:line="240" w:lineRule="auto"/>
      </w:pPr>
      <w:r>
        <w:separator/>
      </w:r>
    </w:p>
  </w:endnote>
  <w:endnote w:type="continuationSeparator" w:id="0">
    <w:p w14:paraId="36647C9C" w14:textId="77777777" w:rsidR="00483ABE" w:rsidRDefault="004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600119A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6" w:name="_1t3h5sf" w:colFirst="0" w:colLast="0"/>
    <w:bookmarkEnd w:id="6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C368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C368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5F3D98">
      <w:rPr>
        <w:rFonts w:ascii="Arial" w:eastAsia="Arial" w:hAnsi="Arial" w:cs="Arial"/>
        <w:sz w:val="12"/>
        <w:szCs w:val="14"/>
      </w:rPr>
      <w:t>1</w:t>
    </w:r>
    <w:r w:rsidR="00D826A1">
      <w:rPr>
        <w:rFonts w:ascii="Arial" w:eastAsia="Arial" w:hAnsi="Arial" w:cs="Arial"/>
        <w:sz w:val="12"/>
        <w:szCs w:val="14"/>
      </w:rPr>
      <w:t xml:space="preserve"> on </w:t>
    </w:r>
    <w:r w:rsidR="00A45027" w:rsidRPr="00A45027">
      <w:rPr>
        <w:rFonts w:ascii="Arial" w:eastAsia="Arial" w:hAnsi="Arial" w:cs="Arial"/>
        <w:sz w:val="12"/>
        <w:szCs w:val="14"/>
      </w:rPr>
      <w:t xml:space="preserve">Southwest Monsoon enhanced by LPA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5F3D98">
      <w:rPr>
        <w:rFonts w:ascii="Arial" w:eastAsia="Arial" w:hAnsi="Arial" w:cs="Arial"/>
        <w:sz w:val="12"/>
        <w:szCs w:val="14"/>
      </w:rPr>
      <w:t>1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5F3D98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</w:t>
    </w:r>
    <w:r w:rsidR="00A45027">
      <w:rPr>
        <w:rFonts w:ascii="Arial" w:eastAsia="Arial" w:hAnsi="Arial" w:cs="Arial"/>
        <w:sz w:val="12"/>
        <w:szCs w:val="14"/>
      </w:rPr>
      <w:t>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BC6C" w14:textId="77777777" w:rsidR="00483ABE" w:rsidRDefault="00483ABE">
      <w:pPr>
        <w:spacing w:after="0" w:line="240" w:lineRule="auto"/>
      </w:pPr>
      <w:r>
        <w:separator/>
      </w:r>
    </w:p>
  </w:footnote>
  <w:footnote w:type="continuationSeparator" w:id="0">
    <w:p w14:paraId="5D39834C" w14:textId="77777777" w:rsidR="00483ABE" w:rsidRDefault="0048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1"/>
  </w:num>
  <w:num w:numId="8">
    <w:abstractNumId w:val="21"/>
  </w:num>
  <w:num w:numId="9">
    <w:abstractNumId w:val="8"/>
  </w:num>
  <w:num w:numId="10">
    <w:abstractNumId w:val="19"/>
  </w:num>
  <w:num w:numId="11">
    <w:abstractNumId w:val="23"/>
  </w:num>
  <w:num w:numId="12">
    <w:abstractNumId w:val="18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13"/>
  </w:num>
  <w:num w:numId="18">
    <w:abstractNumId w:val="17"/>
  </w:num>
  <w:num w:numId="19">
    <w:abstractNumId w:val="0"/>
  </w:num>
  <w:num w:numId="20">
    <w:abstractNumId w:val="1"/>
  </w:num>
  <w:num w:numId="21">
    <w:abstractNumId w:val="9"/>
  </w:num>
  <w:num w:numId="22">
    <w:abstractNumId w:val="16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4D2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40C1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3ABE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F3D98"/>
    <w:rsid w:val="0060251B"/>
    <w:rsid w:val="0061793C"/>
    <w:rsid w:val="00635DDB"/>
    <w:rsid w:val="00640132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5027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368D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B30B8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50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A45027"/>
    <w:rPr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450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027"/>
    <w:rPr>
      <w:b/>
      <w:bCs/>
    </w:rPr>
  </w:style>
  <w:style w:type="paragraph" w:styleId="NoSpacing">
    <w:name w:val="No Spacing"/>
    <w:uiPriority w:val="1"/>
    <w:qFormat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5027"/>
    <w:rPr>
      <w:color w:val="954F72"/>
      <w:u w:val="single"/>
    </w:rPr>
  </w:style>
  <w:style w:type="paragraph" w:customStyle="1" w:styleId="xl65">
    <w:name w:val="xl6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6">
    <w:name w:val="xl7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3">
    <w:name w:val="xl93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6">
    <w:name w:val="xl9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A45027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450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450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45027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5027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45027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9">
    <w:name w:val="xl13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0">
    <w:name w:val="xl140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2">
    <w:name w:val="xl14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A45027"/>
    <w:pPr>
      <w:numPr>
        <w:numId w:val="19"/>
      </w:numPr>
      <w:pBdr>
        <w:top w:val="nil"/>
        <w:left w:val="nil"/>
        <w:bottom w:val="nil"/>
        <w:right w:val="nil"/>
        <w:between w:val="nil"/>
      </w:pBdr>
      <w:contextualSpacing/>
    </w:pPr>
    <w:rPr>
      <w:color w:val="000000"/>
    </w:rPr>
  </w:style>
  <w:style w:type="paragraph" w:customStyle="1" w:styleId="msonormal0">
    <w:name w:val="msonormal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2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2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27"/>
    <w:rPr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GridTable2-Accent1">
    <w:name w:val="Grid Table 2 Accent 1"/>
    <w:basedOn w:val="TableNormal"/>
    <w:uiPriority w:val="47"/>
    <w:rsid w:val="00A45027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A45027"/>
    <w:pPr>
      <w:widowControl/>
      <w:pBdr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45027"/>
    <w:pPr>
      <w:widowControl/>
      <w:pBdr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45027"/>
    <w:pPr>
      <w:widowControl/>
      <w:spacing w:after="160" w:line="259" w:lineRule="auto"/>
      <w:ind w:left="720"/>
      <w:contextualSpacing/>
    </w:pPr>
    <w:rPr>
      <w:rFonts w:ascii="Segoe UI" w:hAnsi="Segoe UI" w:cs="Segoe UI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A45027"/>
    <w:pPr>
      <w:widowControl/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2019-09-01T06:16:00Z</dcterms:created>
  <dcterms:modified xsi:type="dcterms:W3CDTF">2019-09-01T08:00:00Z</dcterms:modified>
</cp:coreProperties>
</file>