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63B038" w14:textId="77777777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/>
      <w:bookmarkEnd w:id="0"/>
      <w:r>
        <w:rPr>
          <w:rFonts w:ascii="Arial" w:eastAsia="Arial" w:hAnsi="Arial" w:cs="Arial"/>
          <w:b/>
          <w:sz w:val="32"/>
          <w:szCs w:val="24"/>
        </w:rPr>
        <w:t xml:space="preserve">DSWD DROMIC Report #1 on the </w:t>
      </w:r>
    </w:p>
    <w:p w14:paraId="5A6C0738" w14:textId="77777777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Landslide Incident in Brgy. Mercedes, Catbalogan City</w:t>
      </w:r>
    </w:p>
    <w:p w14:paraId="7D5DD5FE" w14:textId="77777777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18 September 2019, 6PM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5D9E35E" w14:textId="596AFB99" w:rsidR="00657761" w:rsidRDefault="000D402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484F02">
        <w:rPr>
          <w:rFonts w:ascii="Arial" w:eastAsia="Arial" w:hAnsi="Arial" w:cs="Arial"/>
          <w:sz w:val="24"/>
          <w:szCs w:val="24"/>
        </w:rPr>
        <w:t>17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484F02">
        <w:rPr>
          <w:rFonts w:ascii="Arial" w:eastAsia="Arial" w:hAnsi="Arial" w:cs="Arial"/>
          <w:sz w:val="24"/>
          <w:szCs w:val="24"/>
        </w:rPr>
        <w:t>September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 w:rsidR="00657761">
        <w:rPr>
          <w:rFonts w:ascii="Arial" w:eastAsia="Arial" w:hAnsi="Arial" w:cs="Arial"/>
          <w:sz w:val="24"/>
          <w:szCs w:val="24"/>
        </w:rPr>
        <w:t xml:space="preserve"> at around 12:00 NN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>a</w:t>
      </w:r>
      <w:r w:rsidR="00657761">
        <w:rPr>
          <w:rFonts w:ascii="Arial" w:eastAsia="Arial" w:hAnsi="Arial" w:cs="Arial"/>
          <w:sz w:val="24"/>
          <w:szCs w:val="24"/>
        </w:rPr>
        <w:t xml:space="preserve"> landslide incident occurred in Brgy. Mercedes, Catbalogan City, Samar. On </w:t>
      </w:r>
      <w:r w:rsidR="00657761">
        <w:rPr>
          <w:rFonts w:ascii="Arial" w:eastAsia="Arial" w:hAnsi="Arial" w:cs="Arial"/>
          <w:sz w:val="24"/>
          <w:szCs w:val="24"/>
        </w:rPr>
        <w:t>11 September 2019</w:t>
      </w:r>
      <w:r w:rsidR="00657761">
        <w:rPr>
          <w:rFonts w:ascii="Arial" w:eastAsia="Arial" w:hAnsi="Arial" w:cs="Arial"/>
          <w:sz w:val="24"/>
          <w:szCs w:val="24"/>
        </w:rPr>
        <w:t>,</w:t>
      </w:r>
      <w:r w:rsidR="00657761">
        <w:rPr>
          <w:rFonts w:ascii="Arial" w:eastAsia="Arial" w:hAnsi="Arial" w:cs="Arial"/>
          <w:sz w:val="24"/>
          <w:szCs w:val="24"/>
        </w:rPr>
        <w:t xml:space="preserve"> 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forced </w:t>
      </w:r>
      <w:r w:rsidR="00657761">
        <w:rPr>
          <w:rFonts w:ascii="Arial" w:eastAsia="Arial" w:hAnsi="Arial" w:cs="Arial"/>
          <w:sz w:val="24"/>
          <w:szCs w:val="24"/>
        </w:rPr>
        <w:t>evacuation was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 und</w:t>
      </w:r>
      <w:r w:rsidR="00657761">
        <w:rPr>
          <w:rFonts w:ascii="Arial" w:eastAsia="Arial" w:hAnsi="Arial" w:cs="Arial"/>
          <w:sz w:val="24"/>
          <w:szCs w:val="24"/>
        </w:rPr>
        <w:t xml:space="preserve">ertaken 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by the City Government of Catbalogan City to 40 families </w:t>
      </w:r>
      <w:r w:rsidR="00657761">
        <w:rPr>
          <w:rFonts w:ascii="Arial" w:eastAsia="Arial" w:hAnsi="Arial" w:cs="Arial"/>
          <w:sz w:val="24"/>
          <w:szCs w:val="24"/>
        </w:rPr>
        <w:t>as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 portions of t</w:t>
      </w:r>
      <w:r w:rsidR="00657761">
        <w:rPr>
          <w:rFonts w:ascii="Arial" w:eastAsia="Arial" w:hAnsi="Arial" w:cs="Arial"/>
          <w:sz w:val="24"/>
          <w:szCs w:val="24"/>
        </w:rPr>
        <w:t xml:space="preserve">he slope protection wall in the </w:t>
      </w:r>
      <w:r w:rsidR="00C820DE">
        <w:rPr>
          <w:rFonts w:ascii="Arial" w:eastAsia="Arial" w:hAnsi="Arial" w:cs="Arial"/>
          <w:sz w:val="24"/>
          <w:szCs w:val="24"/>
        </w:rPr>
        <w:t>incident site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 have shown cracks which</w:t>
      </w:r>
      <w:r w:rsidR="00C820DE">
        <w:rPr>
          <w:rFonts w:ascii="Arial" w:eastAsia="Arial" w:hAnsi="Arial" w:cs="Arial"/>
          <w:sz w:val="24"/>
          <w:szCs w:val="24"/>
        </w:rPr>
        <w:t xml:space="preserve"> eventually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 cause</w:t>
      </w:r>
      <w:r w:rsidR="00657761">
        <w:rPr>
          <w:rFonts w:ascii="Arial" w:eastAsia="Arial" w:hAnsi="Arial" w:cs="Arial"/>
          <w:sz w:val="24"/>
          <w:szCs w:val="24"/>
        </w:rPr>
        <w:t>d</w:t>
      </w:r>
      <w:r w:rsidR="00657761" w:rsidRPr="00657761">
        <w:rPr>
          <w:rFonts w:ascii="Arial" w:eastAsia="Arial" w:hAnsi="Arial" w:cs="Arial"/>
          <w:sz w:val="24"/>
          <w:szCs w:val="24"/>
        </w:rPr>
        <w:t xml:space="preserve"> the structure to collapse.</w:t>
      </w:r>
    </w:p>
    <w:p w14:paraId="223EFB9A" w14:textId="77777777" w:rsidR="00D92189" w:rsidRDefault="00D92189" w:rsidP="003F56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0FF842" w14:textId="34364D44" w:rsidR="006C292E" w:rsidRDefault="00BD1919" w:rsidP="003F56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57761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5F9F594B" w14:textId="77777777" w:rsidR="00D92189" w:rsidRPr="00D92189" w:rsidRDefault="00D92189" w:rsidP="00D9218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35C0CE" w14:textId="77777777" w:rsidR="00D92189" w:rsidRDefault="00BE47F2" w:rsidP="00D9218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08032DF" w14:textId="77777777" w:rsidR="00D92189" w:rsidRDefault="00782566" w:rsidP="00D9218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921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There are</w:t>
      </w:r>
      <w:r w:rsidR="00375AE7" w:rsidRPr="00D921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657761" w:rsidRPr="00D92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47</w:t>
      </w:r>
      <w:r w:rsidR="00CA73C9" w:rsidRPr="00D92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6C292E" w:rsidRPr="00D92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292E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="00657761" w:rsidRPr="00D92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177</w:t>
      </w:r>
      <w:r w:rsidR="00CA73C9" w:rsidRPr="00D92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 w:rsidRPr="00D92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2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57761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>landslide incident</w:t>
      </w:r>
      <w:r w:rsidR="005A10C2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96AC1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657761" w:rsidRPr="00D92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Brgy. Mercedes, Catbalogan </w:t>
      </w:r>
      <w:r w:rsidR="00315A4F" w:rsidRPr="00D92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City</w:t>
      </w:r>
      <w:r w:rsidR="001453E6" w:rsidRPr="00D92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, </w:t>
      </w:r>
      <w:r w:rsidR="00657761" w:rsidRPr="00D92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Samar</w:t>
      </w:r>
      <w:r w:rsidR="001453E6" w:rsidRPr="00D9218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D9218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5CB3B08" w14:textId="7FE912A6" w:rsidR="00D92189" w:rsidRDefault="00D92189" w:rsidP="00D9218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429DAB8E" w:rsidR="00BE47F2" w:rsidRPr="00D92189" w:rsidRDefault="00CA73C9" w:rsidP="00D9218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558"/>
        <w:gridCol w:w="1487"/>
        <w:gridCol w:w="1489"/>
        <w:gridCol w:w="1489"/>
      </w:tblGrid>
      <w:tr w:rsidR="00657761" w:rsidRPr="00657761" w14:paraId="617D99E7" w14:textId="77777777" w:rsidTr="00D92189">
        <w:trPr>
          <w:trHeight w:val="32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822C91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CF4AC2A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57761" w:rsidRPr="00657761" w14:paraId="23D5008F" w14:textId="77777777" w:rsidTr="00D92189">
        <w:trPr>
          <w:trHeight w:val="32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F051FAF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9D5E22" w14:textId="146C514D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Barangays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3104DC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9442D8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189" w:rsidRPr="00657761" w14:paraId="36F3628C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1F1B1A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5F96FB" w14:textId="17731453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2FC931" w14:textId="0B901A6A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462481" w14:textId="7303F74B" w:rsidR="00657761" w:rsidRPr="00657761" w:rsidRDefault="00D92189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</w:t>
            </w:r>
          </w:p>
        </w:tc>
      </w:tr>
      <w:tr w:rsidR="00D92189" w:rsidRPr="00657761" w14:paraId="1DACD8C1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186E1A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49BBB" w14:textId="629C09A0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174F4A" w14:textId="57693EA5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9BB8C" w14:textId="5F78DF1E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D92189" w:rsidRPr="00657761" w14:paraId="24EE066E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04375D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CC96B2" w14:textId="3AA70E2D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BDEF13" w14:textId="1623397A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897F86" w14:textId="5A270FF2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D92189" w:rsidRPr="00657761" w14:paraId="26DB2FAC" w14:textId="77777777" w:rsidTr="00D92189">
        <w:trPr>
          <w:trHeight w:val="255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798021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35477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041D30" w14:textId="7A153996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E09CAC" w14:textId="1FCA7B3F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4E741FC" w14:textId="422759F5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177 </w:t>
            </w:r>
          </w:p>
        </w:tc>
      </w:tr>
    </w:tbl>
    <w:p w14:paraId="3FC6455B" w14:textId="65D7F186" w:rsidR="007202DE" w:rsidRPr="005A10C2" w:rsidRDefault="007202DE" w:rsidP="00D92189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37C78B15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57761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45128DA8" w14:textId="77777777" w:rsidR="00D92189" w:rsidRPr="00D92189" w:rsidRDefault="00D92189" w:rsidP="00D92189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742A40" w14:textId="77777777" w:rsidR="00D92189" w:rsidRDefault="00DA48A7" w:rsidP="00D92189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03A8D2A" w14:textId="77777777" w:rsidR="00D92189" w:rsidRDefault="001343B7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2189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657761" w:rsidRPr="00D92189">
        <w:rPr>
          <w:rFonts w:ascii="Arial" w:eastAsia="Times New Roman" w:hAnsi="Arial" w:cs="Arial"/>
          <w:b/>
          <w:bCs/>
          <w:color w:val="0070C0"/>
          <w:sz w:val="24"/>
          <w:szCs w:val="24"/>
        </w:rPr>
        <w:t>47</w:t>
      </w:r>
      <w:r w:rsidRPr="00D9218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6C292E" w:rsidRPr="00D9218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6C292E" w:rsidRPr="00D92189">
        <w:rPr>
          <w:rFonts w:ascii="Arial" w:eastAsia="Times New Roman" w:hAnsi="Arial" w:cs="Arial"/>
          <w:color w:val="222222"/>
          <w:sz w:val="24"/>
          <w:szCs w:val="24"/>
        </w:rPr>
        <w:t xml:space="preserve">or </w:t>
      </w:r>
      <w:r w:rsidR="00657761" w:rsidRPr="00D92189">
        <w:rPr>
          <w:rFonts w:ascii="Arial" w:eastAsia="Times New Roman" w:hAnsi="Arial" w:cs="Arial"/>
          <w:b/>
          <w:bCs/>
          <w:color w:val="0070C0"/>
          <w:sz w:val="24"/>
          <w:szCs w:val="24"/>
        </w:rPr>
        <w:t>177</w:t>
      </w:r>
      <w:r w:rsidRPr="00D9218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6C292E" w:rsidRPr="00D921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92189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160DEA" w:rsidRPr="00D92189">
        <w:rPr>
          <w:rFonts w:ascii="Arial" w:eastAsia="Times New Roman" w:hAnsi="Arial" w:cs="Arial"/>
          <w:color w:val="000000"/>
          <w:sz w:val="24"/>
          <w:szCs w:val="24"/>
        </w:rPr>
        <w:t>currently</w:t>
      </w:r>
      <w:r w:rsidRPr="00D92189">
        <w:rPr>
          <w:rFonts w:ascii="Arial" w:eastAsia="Times New Roman" w:hAnsi="Arial" w:cs="Arial"/>
          <w:color w:val="000000"/>
          <w:sz w:val="24"/>
          <w:szCs w:val="24"/>
        </w:rPr>
        <w:t xml:space="preserve"> staying </w:t>
      </w:r>
      <w:r w:rsidR="006C292E" w:rsidRPr="00D9218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4768D6" w:rsidRPr="00D921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7761" w:rsidRPr="00D92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Payo Evacuation Center</w:t>
      </w:r>
      <w:r w:rsidR="004768D6" w:rsidRPr="00D921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2189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2ACDB630" w14:textId="77777777" w:rsidR="00D92189" w:rsidRDefault="00D92189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26F7285B" w14:textId="18BD21FD" w:rsidR="001343B7" w:rsidRPr="00D92189" w:rsidRDefault="001343B7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463"/>
        <w:gridCol w:w="940"/>
        <w:gridCol w:w="1059"/>
        <w:gridCol w:w="896"/>
        <w:gridCol w:w="896"/>
        <w:gridCol w:w="896"/>
        <w:gridCol w:w="890"/>
      </w:tblGrid>
      <w:tr w:rsidR="00657761" w:rsidRPr="00657761" w14:paraId="14C7EB23" w14:textId="77777777" w:rsidTr="00D92189">
        <w:trPr>
          <w:trHeight w:val="20"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843C1B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602B7DF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54943E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57761" w:rsidRPr="00657761" w14:paraId="1CC849C6" w14:textId="77777777" w:rsidTr="00D92189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6C100AA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3E750F1E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D1CE2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DDDF32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189" w:rsidRPr="00657761" w14:paraId="73B7628D" w14:textId="77777777" w:rsidTr="00D92189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AC2E4C8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CF9ACF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72BBFD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A282A5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7AD47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3517D1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DF972D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57761" w:rsidRPr="00657761" w14:paraId="56ADF2C6" w14:textId="77777777" w:rsidTr="00D92189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8AC19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30EA2A" w14:textId="6FBCFEDF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9404DC" w14:textId="585625B8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8B16DB" w14:textId="059A8E8E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F8AC77" w14:textId="140447D5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FD5A6C" w14:textId="1380D36B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82D18E" w14:textId="3E05A40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657761" w:rsidRPr="00657761" w14:paraId="66AB9393" w14:textId="77777777" w:rsidTr="00D92189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478CFD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5F8B7CD" w14:textId="31015A5A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B010E9" w14:textId="14A4DAD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858188" w14:textId="49B20BF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C6EB71" w14:textId="6EDD2CB5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04307E6" w14:textId="6E42870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92BEB9" w14:textId="61FE3BC3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657761" w:rsidRPr="00657761" w14:paraId="4B884EF7" w14:textId="77777777" w:rsidTr="00D92189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496ADB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954873" w14:textId="31C38662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09250A" w14:textId="096FC366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DED27D" w14:textId="7438665D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43DE7CA" w14:textId="54D4CD58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F21D2D" w14:textId="2E05B75E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563DAA" w14:textId="24221C42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D92189" w:rsidRPr="00657761" w14:paraId="37714499" w14:textId="77777777" w:rsidTr="00D92189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74A3A03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A06E98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BF671A" w14:textId="3205E3B1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7E33EE4" w14:textId="713BE4CD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3F080C7" w14:textId="692EA135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C8924DD" w14:textId="63E503FD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581291" w14:textId="4DC5B145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CD2E2E" w14:textId="3E127A5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177 </w:t>
            </w:r>
          </w:p>
        </w:tc>
      </w:tr>
    </w:tbl>
    <w:p w14:paraId="253E3AF4" w14:textId="77777777" w:rsidR="00657761" w:rsidRPr="005A10C2" w:rsidRDefault="00657761" w:rsidP="00D92189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4955C29E" w14:textId="77777777" w:rsidR="00657761" w:rsidRDefault="00657761" w:rsidP="0065776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FD6A38E" w14:textId="77777777" w:rsidR="00657761" w:rsidRDefault="00657761" w:rsidP="00657761">
      <w:pPr>
        <w:widowControl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2383B5" w14:textId="77777777" w:rsidR="00D92189" w:rsidRPr="00D92189" w:rsidRDefault="00657761" w:rsidP="00D92189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57761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64EF1B7B" w14:textId="77777777" w:rsidR="00D92189" w:rsidRDefault="003F565E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bCs/>
          <w:sz w:val="24"/>
          <w:szCs w:val="24"/>
        </w:rPr>
        <w:t>A total of</w:t>
      </w:r>
      <w:r w:rsidR="00657761" w:rsidRPr="00D92189">
        <w:rPr>
          <w:rFonts w:ascii="Arial" w:hAnsi="Arial" w:cs="Arial"/>
          <w:bCs/>
          <w:sz w:val="24"/>
          <w:szCs w:val="24"/>
        </w:rPr>
        <w:t xml:space="preserve"> </w:t>
      </w:r>
      <w:r w:rsidRPr="00D92189">
        <w:rPr>
          <w:rFonts w:ascii="Arial" w:hAnsi="Arial" w:cs="Arial"/>
          <w:b/>
          <w:bCs/>
          <w:color w:val="0070C0"/>
          <w:sz w:val="24"/>
          <w:szCs w:val="24"/>
        </w:rPr>
        <w:t xml:space="preserve">3 </w:t>
      </w:r>
      <w:r w:rsidR="00657761" w:rsidRPr="00D9218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D9218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92189">
        <w:rPr>
          <w:rFonts w:ascii="Arial" w:hAnsi="Arial" w:cs="Arial"/>
          <w:bCs/>
          <w:sz w:val="24"/>
          <w:szCs w:val="24"/>
        </w:rPr>
        <w:t xml:space="preserve">were </w:t>
      </w:r>
      <w:r w:rsidRPr="00D9218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657761" w:rsidRPr="00D92189">
        <w:rPr>
          <w:rFonts w:ascii="Arial" w:hAnsi="Arial" w:cs="Arial"/>
          <w:color w:val="0070C0"/>
          <w:sz w:val="24"/>
          <w:szCs w:val="24"/>
        </w:rPr>
        <w:t xml:space="preserve"> </w:t>
      </w:r>
      <w:r w:rsidRPr="00D92189">
        <w:rPr>
          <w:rFonts w:ascii="Arial" w:hAnsi="Arial" w:cs="Arial"/>
          <w:sz w:val="24"/>
          <w:szCs w:val="24"/>
        </w:rPr>
        <w:t xml:space="preserve">by the landslide incident </w:t>
      </w:r>
      <w:r w:rsidR="00657761" w:rsidRPr="00D92189">
        <w:rPr>
          <w:rFonts w:ascii="Arial" w:hAnsi="Arial" w:cs="Arial"/>
          <w:sz w:val="24"/>
          <w:szCs w:val="24"/>
        </w:rPr>
        <w:t>(see Table 3</w:t>
      </w:r>
      <w:r w:rsidR="00657761" w:rsidRPr="00D92189">
        <w:rPr>
          <w:rFonts w:ascii="Arial" w:hAnsi="Arial" w:cs="Arial"/>
          <w:sz w:val="24"/>
          <w:szCs w:val="24"/>
        </w:rPr>
        <w:t>).</w:t>
      </w:r>
    </w:p>
    <w:p w14:paraId="5D7F05BD" w14:textId="77777777" w:rsidR="00D92189" w:rsidRDefault="00D92189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64092640" w14:textId="5642D8AB" w:rsidR="00657761" w:rsidRPr="00551CD3" w:rsidRDefault="00657761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3</w:t>
      </w: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. Number of Damaged Houses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546"/>
        <w:gridCol w:w="1492"/>
        <w:gridCol w:w="1492"/>
        <w:gridCol w:w="1490"/>
      </w:tblGrid>
      <w:tr w:rsidR="00657761" w:rsidRPr="00657761" w14:paraId="73D13F28" w14:textId="77777777" w:rsidTr="00D92189">
        <w:trPr>
          <w:trHeight w:val="32"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A69B0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196DE0B" w14:textId="6465FDCE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565E" w:rsidRPr="00657761" w14:paraId="5F7CAA84" w14:textId="77777777" w:rsidTr="00D92189">
        <w:trPr>
          <w:trHeight w:val="20"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3077A1F9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88D87A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9AD6DB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73175B0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565E" w:rsidRPr="00657761" w14:paraId="58B85920" w14:textId="77777777" w:rsidTr="00D92189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8F142A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05546B" w14:textId="53D181F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845973" w14:textId="06665F1C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685CAE" w14:textId="097CD95C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65E" w:rsidRPr="00657761" w14:paraId="7DA834F1" w14:textId="77777777" w:rsidTr="00D92189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3FF944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4A7AF9" w14:textId="02A9665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5C710F" w14:textId="0BDC3574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16A14AF" w14:textId="64CD1561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65E" w:rsidRPr="00657761" w14:paraId="1550E153" w14:textId="77777777" w:rsidTr="00D92189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040AA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1A2B8B" w14:textId="3B1ABBBC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6056323" w14:textId="564DF9D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B9286D" w14:textId="15F947AE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65E" w:rsidRPr="00657761" w14:paraId="397E86A3" w14:textId="77777777" w:rsidTr="00D9218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E0ED37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F93C70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9045EA" w14:textId="078E983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D708D0" w14:textId="0A1A1CE1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79E623" w14:textId="4415F1F5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B11510C" w14:textId="6C30F0A9" w:rsidR="00657761" w:rsidRDefault="00657761" w:rsidP="00D9218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480A419" w14:textId="0ED80D99" w:rsidR="006C292E" w:rsidRPr="003F565E" w:rsidRDefault="00657761" w:rsidP="003F565E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 w:rsidR="003F565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3F565E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</w:p>
    <w:p w14:paraId="6AEB858C" w14:textId="3AD7E329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FB83E7" w:rsidR="00985089" w:rsidRPr="00331AB1" w:rsidRDefault="00160DEA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AB9C3E" w:rsidR="00A424AB" w:rsidRPr="00331AB1" w:rsidRDefault="00E97EC4" w:rsidP="006C292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ABF830A" w14:textId="51D6AEBF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C7F321F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VI</w:t>
      </w:r>
      <w:r w:rsidR="003F565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160DEA">
        <w:trPr>
          <w:trHeight w:val="1231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2612C570" w:rsidR="00BF4481" w:rsidRPr="00A73E36" w:rsidRDefault="00BF4481" w:rsidP="00A73E36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6" w:hanging="283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7054F" w14:textId="201ADD59" w:rsidR="00A73E36" w:rsidRDefault="000A5B94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="00160DEA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he 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SWAD Team from the Province of Western Samar is closely coordinating with</w:t>
            </w:r>
            <w:r w:rsid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CSWDO/CDRRMO </w:t>
            </w:r>
            <w:r w:rsid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status of families inside</w:t>
            </w:r>
            <w:r w:rsid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evacuation center. Further, </w:t>
            </w:r>
            <w:r w:rsid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 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initial discussion </w:t>
            </w:r>
            <w:r w:rsid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was made 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with CSWDO as to their request for</w:t>
            </w:r>
            <w:r w:rsid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of </w:t>
            </w:r>
            <w:r w:rsidR="00E9395E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non-food items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48F8FF6" w14:textId="6C81CFB8" w:rsidR="00A73E36" w:rsidRDefault="00A73E36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All Quick Response Team (QRT) members and Disaster Response Management Division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(DRMD) </w:t>
            </w:r>
            <w:r w:rsidR="00E21D3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staff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are alerted in case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of workforce is needed.</w:t>
            </w:r>
          </w:p>
          <w:p w14:paraId="31F80EDB" w14:textId="77777777" w:rsidR="00A73E36" w:rsidRDefault="00A73E36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Information Management Section (DRIMS) is in close coordination with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SWADT and DRMD-PDO for any updates.</w:t>
            </w:r>
          </w:p>
          <w:p w14:paraId="47887C42" w14:textId="17CA2F3E" w:rsidR="00A73E36" w:rsidRDefault="00A73E36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</w:t>
            </w:r>
            <w:r w:rsidR="00E21D37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also alerted to ensure the readiness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dispatching the </w:t>
            </w:r>
            <w:r w:rsidR="00E21D37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commodities whenever needed.</w:t>
            </w:r>
          </w:p>
          <w:p w14:paraId="1FEC3611" w14:textId="3D24B2E3" w:rsidR="00A73E36" w:rsidRDefault="00A73E36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City Government of Catbalogan has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set-up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712B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community kitchen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to families inside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evacuation center and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organized various committees to ensure camp maintenance.</w:t>
            </w:r>
          </w:p>
          <w:p w14:paraId="4B00194C" w14:textId="1E312BD0" w:rsidR="00A73E36" w:rsidRPr="00A73E36" w:rsidRDefault="00A73E36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Disaster Risk Reduction Committee has yet to convene to plan for the early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recovery rehabilitation of the affected families as reported by CSWDO Ms. Arroza.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rolong</w:t>
            </w:r>
            <w:r w:rsidR="000C4BB3">
              <w:rPr>
                <w:rFonts w:ascii="Arial" w:eastAsia="Arial" w:hAnsi="Arial" w:cs="Arial"/>
                <w:color w:val="0070C0"/>
                <w:sz w:val="20"/>
                <w:szCs w:val="24"/>
              </w:rPr>
              <w:t>ed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evacuation may happen since 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are no longer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llowed to go back to their houses</w:t>
            </w:r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due to threat of another </w:t>
            </w:r>
            <w:r w:rsidR="000C4BB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possible </w:t>
            </w:r>
            <w:bookmarkStart w:id="1" w:name="_GoBack"/>
            <w:bookmarkEnd w:id="1"/>
            <w:r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landslide. 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E450385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3F565E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37331D2B" w:rsidR="00C601CE" w:rsidRPr="00C601CE" w:rsidRDefault="003F565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E11162B" w:rsidR="00C9090C" w:rsidRPr="005A10C2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16B6777" w14:textId="0A414374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5DBE5C83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8F9D" w14:textId="77777777" w:rsidR="0022020A" w:rsidRDefault="0022020A">
      <w:pPr>
        <w:spacing w:after="0" w:line="240" w:lineRule="auto"/>
      </w:pPr>
      <w:r>
        <w:separator/>
      </w:r>
    </w:p>
  </w:endnote>
  <w:endnote w:type="continuationSeparator" w:id="0">
    <w:p w14:paraId="7E2FD18B" w14:textId="77777777" w:rsidR="0022020A" w:rsidRDefault="002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88D4337" w:rsidR="001149A2" w:rsidRPr="00F24B77" w:rsidRDefault="0082655B" w:rsidP="00160DE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C4BB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C4BB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484F02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3F565E">
      <w:rPr>
        <w:rFonts w:ascii="Arial" w:eastAsia="Arial" w:hAnsi="Arial" w:cs="Arial"/>
        <w:sz w:val="14"/>
        <w:szCs w:val="18"/>
      </w:rPr>
      <w:t>on the Landslide Incident in Brgy. Mercedes, Catbalogan City, Samar as of 18 September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592E" w14:textId="77777777" w:rsidR="0022020A" w:rsidRDefault="0022020A">
      <w:pPr>
        <w:spacing w:after="0" w:line="240" w:lineRule="auto"/>
      </w:pPr>
      <w:r>
        <w:separator/>
      </w:r>
    </w:p>
  </w:footnote>
  <w:footnote w:type="continuationSeparator" w:id="0">
    <w:p w14:paraId="15A893AC" w14:textId="77777777" w:rsidR="0022020A" w:rsidRDefault="0022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2C1075"/>
    <w:multiLevelType w:val="hybridMultilevel"/>
    <w:tmpl w:val="06C6325E"/>
    <w:lvl w:ilvl="0" w:tplc="9B5C82F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C1D6523"/>
    <w:multiLevelType w:val="hybridMultilevel"/>
    <w:tmpl w:val="7B1C57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C4BB3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020A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3F565E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E712B"/>
    <w:rsid w:val="005F7749"/>
    <w:rsid w:val="00604C05"/>
    <w:rsid w:val="0061793C"/>
    <w:rsid w:val="0065029D"/>
    <w:rsid w:val="00651F59"/>
    <w:rsid w:val="00657761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3E36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B02C8"/>
    <w:rsid w:val="00BB2F4A"/>
    <w:rsid w:val="00BB7248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20DE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92189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2C90"/>
    <w:rsid w:val="00E15317"/>
    <w:rsid w:val="00E21D3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395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8F8A-B323-4A01-AF60-BE43ECD0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8</cp:revision>
  <dcterms:created xsi:type="dcterms:W3CDTF">2019-09-18T08:22:00Z</dcterms:created>
  <dcterms:modified xsi:type="dcterms:W3CDTF">2019-09-18T08:39:00Z</dcterms:modified>
</cp:coreProperties>
</file>