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3057CE51" w:rsidR="001453E6" w:rsidRDefault="0077218D" w:rsidP="00145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 Report #</w:t>
      </w:r>
      <w:r w:rsidR="007C3E90">
        <w:rPr>
          <w:rFonts w:ascii="Arial" w:eastAsia="Arial" w:hAnsi="Arial" w:cs="Arial"/>
          <w:b/>
          <w:sz w:val="32"/>
          <w:szCs w:val="24"/>
        </w:rPr>
        <w:t>2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</w:t>
      </w:r>
    </w:p>
    <w:p w14:paraId="481A1A5A" w14:textId="58BE2522" w:rsidR="0077218D" w:rsidRPr="005A10C2" w:rsidRDefault="001453E6" w:rsidP="00145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Pr="001453E6">
        <w:rPr>
          <w:rFonts w:ascii="Arial" w:eastAsia="Arial" w:hAnsi="Arial" w:cs="Arial"/>
          <w:b/>
          <w:sz w:val="32"/>
          <w:szCs w:val="24"/>
        </w:rPr>
        <w:t>Brgy. Paitan, Escalante, Negros Occidental</w:t>
      </w:r>
    </w:p>
    <w:p w14:paraId="2C71C05E" w14:textId="6B5C3E13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E34D26">
        <w:rPr>
          <w:rFonts w:ascii="Arial" w:eastAsia="Arial" w:hAnsi="Arial" w:cs="Arial"/>
          <w:sz w:val="24"/>
          <w:szCs w:val="24"/>
        </w:rPr>
        <w:t>03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1453E6">
        <w:rPr>
          <w:rFonts w:ascii="Arial" w:eastAsia="Arial" w:hAnsi="Arial" w:cs="Arial"/>
          <w:sz w:val="24"/>
          <w:szCs w:val="24"/>
        </w:rPr>
        <w:t>September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CA0240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5A10C2" w:rsidRDefault="00046FA7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BD1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2ED818" w14:textId="72BCA61A" w:rsidR="000D402E" w:rsidRDefault="000D402E" w:rsidP="001453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1453E6">
        <w:rPr>
          <w:rFonts w:ascii="Arial" w:eastAsia="Arial" w:hAnsi="Arial" w:cs="Arial"/>
          <w:sz w:val="24"/>
          <w:szCs w:val="24"/>
        </w:rPr>
        <w:t>31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1453E6">
        <w:rPr>
          <w:rFonts w:ascii="Arial" w:eastAsia="Arial" w:hAnsi="Arial" w:cs="Arial"/>
          <w:sz w:val="24"/>
          <w:szCs w:val="24"/>
        </w:rPr>
        <w:t>August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 at</w:t>
      </w:r>
      <w:r w:rsidRPr="00BD191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6:45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AM, </w:t>
      </w:r>
      <w:r>
        <w:rPr>
          <w:rFonts w:ascii="Arial" w:eastAsia="Arial" w:hAnsi="Arial" w:cs="Arial"/>
          <w:sz w:val="24"/>
          <w:szCs w:val="24"/>
        </w:rPr>
        <w:t xml:space="preserve">an encounter transpired between </w:t>
      </w:r>
      <w:r>
        <w:rPr>
          <w:rFonts w:ascii="Arial" w:eastAsia="Arial" w:hAnsi="Arial" w:cs="Arial"/>
          <w:sz w:val="24"/>
          <w:szCs w:val="24"/>
        </w:rPr>
        <w:t xml:space="preserve">more or less 30 terrorist </w:t>
      </w:r>
      <w:r w:rsidRPr="001453E6">
        <w:rPr>
          <w:rFonts w:ascii="Arial" w:eastAsia="Arial" w:hAnsi="Arial" w:cs="Arial"/>
          <w:sz w:val="24"/>
          <w:szCs w:val="24"/>
        </w:rPr>
        <w:t xml:space="preserve">NPAs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1453E6">
        <w:rPr>
          <w:rFonts w:ascii="Arial" w:eastAsia="Arial" w:hAnsi="Arial" w:cs="Arial"/>
          <w:sz w:val="24"/>
          <w:szCs w:val="24"/>
        </w:rPr>
        <w:t>troops of 79th Infantry Battalion</w:t>
      </w:r>
      <w:r>
        <w:rPr>
          <w:rFonts w:ascii="Arial" w:eastAsia="Arial" w:hAnsi="Arial" w:cs="Arial"/>
          <w:sz w:val="24"/>
          <w:szCs w:val="24"/>
        </w:rPr>
        <w:t xml:space="preserve"> while </w:t>
      </w:r>
      <w:r>
        <w:rPr>
          <w:rFonts w:ascii="Arial" w:eastAsia="Arial" w:hAnsi="Arial" w:cs="Arial"/>
          <w:sz w:val="24"/>
          <w:szCs w:val="24"/>
        </w:rPr>
        <w:t xml:space="preserve">conducting combat </w:t>
      </w:r>
      <w:r w:rsidRPr="001453E6">
        <w:rPr>
          <w:rFonts w:ascii="Arial" w:eastAsia="Arial" w:hAnsi="Arial" w:cs="Arial"/>
          <w:sz w:val="24"/>
          <w:szCs w:val="24"/>
        </w:rPr>
        <w:t>operations</w:t>
      </w:r>
      <w:r>
        <w:rPr>
          <w:rFonts w:ascii="Arial" w:eastAsia="Arial" w:hAnsi="Arial" w:cs="Arial"/>
          <w:sz w:val="24"/>
          <w:szCs w:val="24"/>
        </w:rPr>
        <w:t xml:space="preserve"> at Sitio Morino, Brgy. </w:t>
      </w:r>
      <w:r w:rsidRPr="001453E6">
        <w:rPr>
          <w:rFonts w:ascii="Arial" w:eastAsia="Arial" w:hAnsi="Arial" w:cs="Arial"/>
          <w:sz w:val="24"/>
          <w:szCs w:val="24"/>
        </w:rPr>
        <w:t>Paitan, Escalante City, Negros Occidental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1453E6">
        <w:rPr>
          <w:rFonts w:ascii="Arial" w:eastAsia="Arial" w:hAnsi="Arial" w:cs="Arial"/>
          <w:sz w:val="24"/>
          <w:szCs w:val="24"/>
        </w:rPr>
        <w:t>The soldier</w:t>
      </w:r>
      <w:r>
        <w:rPr>
          <w:rFonts w:ascii="Arial" w:eastAsia="Arial" w:hAnsi="Arial" w:cs="Arial"/>
          <w:sz w:val="24"/>
          <w:szCs w:val="24"/>
        </w:rPr>
        <w:t xml:space="preserve">s fought in a 45-minute running </w:t>
      </w:r>
      <w:r w:rsidRPr="001453E6">
        <w:rPr>
          <w:rFonts w:ascii="Arial" w:eastAsia="Arial" w:hAnsi="Arial" w:cs="Arial"/>
          <w:sz w:val="24"/>
          <w:szCs w:val="24"/>
        </w:rPr>
        <w:t>gun battle against the NPAs who used an anti-pe</w:t>
      </w:r>
      <w:r>
        <w:rPr>
          <w:rFonts w:ascii="Arial" w:eastAsia="Arial" w:hAnsi="Arial" w:cs="Arial"/>
          <w:sz w:val="24"/>
          <w:szCs w:val="24"/>
        </w:rPr>
        <w:t xml:space="preserve">rsonnel mine in the process and </w:t>
      </w:r>
      <w:r>
        <w:rPr>
          <w:rFonts w:ascii="Arial" w:eastAsia="Arial" w:hAnsi="Arial" w:cs="Arial"/>
          <w:sz w:val="24"/>
          <w:szCs w:val="24"/>
        </w:rPr>
        <w:t>eventually</w:t>
      </w:r>
      <w:r w:rsidRPr="001453E6">
        <w:rPr>
          <w:rFonts w:ascii="Arial" w:eastAsia="Arial" w:hAnsi="Arial" w:cs="Arial"/>
          <w:sz w:val="24"/>
          <w:szCs w:val="24"/>
        </w:rPr>
        <w:t xml:space="preserve"> withdrew towards the forested portion of Sitio Sampinit of same barangay.</w:t>
      </w:r>
    </w:p>
    <w:p w14:paraId="726B8349" w14:textId="77777777" w:rsidR="000D402E" w:rsidRDefault="000D402E" w:rsidP="000D402E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7CC162C2" w14:textId="0E1DD1EC" w:rsidR="00FA639D" w:rsidRDefault="00BD1919" w:rsidP="000D4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90B0957" w14:textId="77777777" w:rsidR="000D402E" w:rsidRPr="00D62D8E" w:rsidRDefault="000D402E" w:rsidP="000D40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50BEE580" w:rsidR="00BB7248" w:rsidRPr="001343B7" w:rsidRDefault="00BE47F2" w:rsidP="001343B7">
      <w:pPr>
        <w:pStyle w:val="ListParagraph"/>
        <w:numPr>
          <w:ilvl w:val="0"/>
          <w:numId w:val="13"/>
        </w:numPr>
        <w:spacing w:after="0" w:line="240" w:lineRule="auto"/>
        <w:ind w:left="284" w:hanging="29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7A45E1F8" w:rsidR="00CA73C9" w:rsidRPr="000243FB" w:rsidRDefault="00782566" w:rsidP="000243FB">
      <w:pPr>
        <w:spacing w:after="0" w:line="240" w:lineRule="auto"/>
        <w:ind w:left="360" w:hanging="76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There are</w:t>
      </w:r>
      <w:r w:rsidR="00375AE7" w:rsidRPr="005A10C2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7C3E9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206</w:t>
      </w:r>
      <w:r w:rsidR="00CA73C9" w:rsidRPr="00C878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5A10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C3E9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644</w:t>
      </w:r>
      <w:r w:rsidR="00CA73C9" w:rsidRPr="00C878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5A10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0243F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 Barangays</w:t>
      </w:r>
      <w:r w:rsidR="000243FB" w:rsidRPr="000243FB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="000243FB" w:rsidRPr="000243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453E6" w:rsidRPr="001453E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Escalante, Negros Occidental</w:t>
      </w:r>
      <w:r w:rsidR="001453E6" w:rsidRPr="001453E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5A10C2" w:rsidRDefault="00BB724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A10C2" w:rsidRDefault="00CA73C9" w:rsidP="001343B7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18"/>
        <w:gridCol w:w="1752"/>
        <w:gridCol w:w="1422"/>
        <w:gridCol w:w="1418"/>
      </w:tblGrid>
      <w:tr w:rsidR="007C3E90" w:rsidRPr="007C3E90" w14:paraId="4803836C" w14:textId="77777777" w:rsidTr="001343B7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8EA2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AEE7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C3E90" w:rsidRPr="007C3E90" w14:paraId="74618FA8" w14:textId="77777777" w:rsidTr="001343B7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E49A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9F77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88EC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A6C5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3E90" w:rsidRPr="007C3E90" w14:paraId="3BB1DFCA" w14:textId="77777777" w:rsidTr="001343B7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8CE8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4E5D" w14:textId="6273509A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1476" w14:textId="28B9E4F9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C211" w14:textId="32B70371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644 </w:t>
            </w:r>
          </w:p>
        </w:tc>
      </w:tr>
      <w:tr w:rsidR="007C3E90" w:rsidRPr="007C3E90" w14:paraId="2F135FDC" w14:textId="77777777" w:rsidTr="001343B7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B84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2657" w14:textId="7D0EA8E5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CB12" w14:textId="47191A9C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47EF" w14:textId="47ED5A64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644 </w:t>
            </w:r>
          </w:p>
        </w:tc>
      </w:tr>
      <w:tr w:rsidR="007C3E90" w:rsidRPr="007C3E90" w14:paraId="14198D7D" w14:textId="77777777" w:rsidTr="001343B7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5211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132A" w14:textId="32608CDE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2CEB" w14:textId="4FE7205A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F42F" w14:textId="6D221FC5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644 </w:t>
            </w:r>
          </w:p>
        </w:tc>
      </w:tr>
      <w:tr w:rsidR="007C3E90" w:rsidRPr="007C3E90" w14:paraId="3D59BA69" w14:textId="77777777" w:rsidTr="001343B7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A2CB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09EE" w14:textId="77777777" w:rsidR="007C3E90" w:rsidRPr="007C3E90" w:rsidRDefault="007C3E90" w:rsidP="007C3E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D48A" w14:textId="47D69A7D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8D52" w14:textId="151C289A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5ECC" w14:textId="15F2AF19" w:rsidR="007C3E90" w:rsidRPr="007C3E90" w:rsidRDefault="007C3E90" w:rsidP="007C3E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</w:tr>
    </w:tbl>
    <w:p w14:paraId="3FC6455B" w14:textId="65D7F186" w:rsidR="007202DE" w:rsidRPr="005A10C2" w:rsidRDefault="007202DE" w:rsidP="001343B7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35DCC3C0" w:rsidR="0077218D" w:rsidRPr="005A10C2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87FCAA" w14:textId="1F31EC56" w:rsidR="00272A9A" w:rsidRPr="00272A9A" w:rsidRDefault="00DA48A7" w:rsidP="00272A9A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36548661" w:rsidR="001343B7" w:rsidRPr="000243FB" w:rsidRDefault="001343B7" w:rsidP="000243F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343B7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4768D6">
        <w:rPr>
          <w:rFonts w:ascii="Arial" w:eastAsia="Times New Roman" w:hAnsi="Arial" w:cs="Arial"/>
          <w:b/>
          <w:bCs/>
          <w:color w:val="0070C0"/>
          <w:sz w:val="24"/>
          <w:szCs w:val="24"/>
        </w:rPr>
        <w:t>206</w:t>
      </w:r>
      <w:r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1343B7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1343B7">
        <w:rPr>
          <w:rFonts w:ascii="Arial" w:eastAsia="Times New Roman" w:hAnsi="Arial" w:cs="Arial"/>
          <w:color w:val="222222"/>
          <w:sz w:val="24"/>
          <w:szCs w:val="24"/>
        </w:rPr>
        <w:t>or </w:t>
      </w:r>
      <w:r w:rsidR="004768D6">
        <w:rPr>
          <w:rFonts w:ascii="Arial" w:eastAsia="Times New Roman" w:hAnsi="Arial" w:cs="Arial"/>
          <w:b/>
          <w:bCs/>
          <w:color w:val="0070C0"/>
          <w:sz w:val="24"/>
          <w:szCs w:val="24"/>
        </w:rPr>
        <w:t>644</w:t>
      </w:r>
      <w:r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1343B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are temporarily staying 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4768D6" w:rsidRPr="004768D6">
        <w:rPr>
          <w:rFonts w:ascii="Arial" w:eastAsia="Times New Roman" w:hAnsi="Arial" w:cs="Arial"/>
          <w:b/>
          <w:bCs/>
          <w:color w:val="0070C0"/>
          <w:sz w:val="24"/>
          <w:szCs w:val="24"/>
        </w:rPr>
        <w:t>2 Evacuation Centers</w:t>
      </w:r>
      <w:r w:rsidR="00024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243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43F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Brgy.</w:t>
      </w:r>
      <w:r w:rsidR="000243F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0243F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Paitan and Brgy. </w:t>
      </w:r>
      <w:r w:rsidR="000243F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Libertad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6B3072B8" w14:textId="2413CEF4" w:rsidR="001343B7" w:rsidRDefault="001343B7" w:rsidP="001343B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bookmarkStart w:id="1" w:name="_GoBack"/>
      <w:bookmarkEnd w:id="1"/>
    </w:p>
    <w:p w14:paraId="26F7285B" w14:textId="2E03DB9E" w:rsidR="001343B7" w:rsidRDefault="001343B7" w:rsidP="00DA48A7">
      <w:pPr>
        <w:widowControl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9701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85"/>
        <w:gridCol w:w="954"/>
        <w:gridCol w:w="1071"/>
        <w:gridCol w:w="912"/>
        <w:gridCol w:w="912"/>
        <w:gridCol w:w="912"/>
        <w:gridCol w:w="912"/>
      </w:tblGrid>
      <w:tr w:rsidR="00DA48A7" w:rsidRPr="00DA48A7" w14:paraId="494F7C17" w14:textId="77777777" w:rsidTr="00DA48A7">
        <w:trPr>
          <w:trHeight w:val="20"/>
        </w:trPr>
        <w:tc>
          <w:tcPr>
            <w:tcW w:w="4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5397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9BFF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852B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48A7" w:rsidRPr="00DA48A7" w14:paraId="1AA56C84" w14:textId="77777777" w:rsidTr="00DA48A7">
        <w:trPr>
          <w:trHeight w:val="20"/>
        </w:trPr>
        <w:tc>
          <w:tcPr>
            <w:tcW w:w="4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BCEA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3367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BA74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CB48" w14:textId="77777777" w:rsidR="00DA48A7" w:rsidRPr="00DA48A7" w:rsidRDefault="00DA48A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43B7" w:rsidRPr="00DA48A7" w14:paraId="0B9B78E2" w14:textId="77777777" w:rsidTr="00DA48A7">
        <w:trPr>
          <w:trHeight w:val="20"/>
        </w:trPr>
        <w:tc>
          <w:tcPr>
            <w:tcW w:w="4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B1E2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1233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2C55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91BE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1032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36D6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A681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43B7" w:rsidRPr="00DA48A7" w14:paraId="0503D4ED" w14:textId="77777777" w:rsidTr="00DA48A7">
        <w:trPr>
          <w:trHeight w:val="20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75C52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A85B" w14:textId="789B9EFE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7A8E" w14:textId="073CA0EC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8F14" w14:textId="0F20350C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9E8D" w14:textId="3837585F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481C" w14:textId="6674CDC1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3F8C" w14:textId="582F2F4C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</w:tr>
      <w:tr w:rsidR="001343B7" w:rsidRPr="00DA48A7" w14:paraId="2887AC0F" w14:textId="77777777" w:rsidTr="00DA48A7">
        <w:trPr>
          <w:trHeight w:val="20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2D42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140C7" w14:textId="466E0C37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D940" w14:textId="5B2162D0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469D" w14:textId="2D69D80E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D11F" w14:textId="299B72E6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752B" w14:textId="6B175822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C378" w14:textId="452937FB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</w:tr>
      <w:tr w:rsidR="001343B7" w:rsidRPr="00DA48A7" w14:paraId="5546188F" w14:textId="77777777" w:rsidTr="00DA48A7">
        <w:trPr>
          <w:trHeight w:val="20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90A4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D192" w14:textId="2A564040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C0C1" w14:textId="36241D6C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898C" w14:textId="6BBE7DFF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AD1A" w14:textId="2ED10D2B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B834" w14:textId="69833F6D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832D" w14:textId="4214ADE3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644 </w:t>
            </w:r>
          </w:p>
        </w:tc>
      </w:tr>
      <w:tr w:rsidR="001343B7" w:rsidRPr="00DA48A7" w14:paraId="464167B2" w14:textId="77777777" w:rsidTr="00DA48A7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8FD2A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1E95" w14:textId="77777777" w:rsidR="001343B7" w:rsidRPr="00DA48A7" w:rsidRDefault="001343B7" w:rsidP="00DA48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0A61" w14:textId="0DC97177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F352" w14:textId="17B13355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6097" w14:textId="6F91C20D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457E" w14:textId="035AF759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B4EF" w14:textId="6CA16E10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1D94" w14:textId="7A941F88" w:rsidR="001343B7" w:rsidRPr="00DA48A7" w:rsidRDefault="001343B7" w:rsidP="00DA48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</w:tr>
    </w:tbl>
    <w:p w14:paraId="1F957B0E" w14:textId="77777777" w:rsidR="00DA48A7" w:rsidRPr="005A10C2" w:rsidRDefault="00DA48A7" w:rsidP="00DA48A7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28CD22" w14:textId="77777777" w:rsidR="00DA48A7" w:rsidRDefault="00DA48A7" w:rsidP="00DA48A7">
      <w:pPr>
        <w:widowControl/>
        <w:shd w:val="clear" w:color="auto" w:fill="FFFFFF"/>
        <w:spacing w:after="0" w:line="240" w:lineRule="auto"/>
        <w:ind w:left="3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E577233" w14:textId="58C1B4C3" w:rsidR="00DA48A7" w:rsidRPr="00DA48A7" w:rsidRDefault="00272A9A" w:rsidP="00272A9A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222222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DA48A7" w:rsidRPr="00DA48A7">
        <w:rPr>
          <w:rFonts w:ascii="Arial" w:hAnsi="Arial" w:cs="Arial"/>
          <w:b/>
          <w:bCs/>
          <w:color w:val="002060"/>
          <w:sz w:val="24"/>
        </w:rPr>
        <w:t>Assistance Provided</w:t>
      </w:r>
    </w:p>
    <w:p w14:paraId="2BC4F841" w14:textId="7056C451" w:rsidR="00DA48A7" w:rsidRDefault="00DA48A7" w:rsidP="00DA48A7">
      <w:pPr>
        <w:pStyle w:val="m-5477238479406467416gmail-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total of </w:t>
      </w:r>
      <w:r>
        <w:rPr>
          <w:rFonts w:ascii="Arial" w:hAnsi="Arial" w:cs="Arial"/>
          <w:b/>
          <w:bCs/>
          <w:color w:val="0070C0"/>
        </w:rPr>
        <w:t>₱</w:t>
      </w:r>
      <w:r w:rsidR="00272A9A" w:rsidRPr="00272A9A">
        <w:rPr>
          <w:rFonts w:ascii="Arial" w:hAnsi="Arial" w:cs="Arial"/>
          <w:b/>
          <w:bCs/>
          <w:color w:val="0070C0"/>
        </w:rPr>
        <w:t>104,383.00</w:t>
      </w:r>
      <w:r w:rsidRPr="00272A9A">
        <w:rPr>
          <w:rFonts w:ascii="Arial" w:hAnsi="Arial" w:cs="Arial"/>
          <w:b/>
          <w:bCs/>
          <w:color w:val="0070C0"/>
        </w:rPr>
        <w:t> </w:t>
      </w:r>
      <w:r>
        <w:rPr>
          <w:rFonts w:ascii="Arial" w:hAnsi="Arial" w:cs="Arial"/>
          <w:color w:val="000000"/>
        </w:rPr>
        <w:t>worth of assistance was provided 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b/>
          <w:bCs/>
          <w:color w:val="222222"/>
        </w:rPr>
        <w:t> </w:t>
      </w:r>
      <w:r w:rsidR="00272A9A">
        <w:rPr>
          <w:rFonts w:ascii="Arial" w:hAnsi="Arial" w:cs="Arial"/>
          <w:b/>
          <w:bCs/>
          <w:color w:val="0070C0"/>
        </w:rPr>
        <w:t>LGU</w:t>
      </w:r>
      <w:r>
        <w:rPr>
          <w:rFonts w:ascii="Arial" w:hAnsi="Arial" w:cs="Arial"/>
          <w:color w:val="222222"/>
        </w:rPr>
        <w:t> to</w:t>
      </w:r>
      <w:r>
        <w:rPr>
          <w:rFonts w:ascii="Arial" w:hAnsi="Arial" w:cs="Arial"/>
          <w:b/>
          <w:bCs/>
          <w:color w:val="0070C0"/>
        </w:rPr>
        <w:t> </w:t>
      </w:r>
      <w:r>
        <w:rPr>
          <w:rFonts w:ascii="Arial" w:hAnsi="Arial" w:cs="Arial"/>
          <w:color w:val="000000"/>
        </w:rPr>
        <w:t xml:space="preserve">the affected families (see Table </w:t>
      </w:r>
      <w:r w:rsidR="00272A9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).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700"/>
        <w:gridCol w:w="1090"/>
        <w:gridCol w:w="655"/>
        <w:gridCol w:w="921"/>
        <w:gridCol w:w="1165"/>
      </w:tblGrid>
      <w:tr w:rsidR="00272A9A" w:rsidRPr="00272A9A" w14:paraId="17781ED4" w14:textId="77777777" w:rsidTr="00D62D8E">
        <w:trPr>
          <w:trHeight w:val="20"/>
        </w:trPr>
        <w:tc>
          <w:tcPr>
            <w:tcW w:w="260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8F38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24F9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72A9A" w:rsidRPr="00272A9A" w14:paraId="5FCDB67E" w14:textId="77777777" w:rsidTr="00D62D8E">
        <w:trPr>
          <w:trHeight w:val="20"/>
        </w:trPr>
        <w:tc>
          <w:tcPr>
            <w:tcW w:w="2605" w:type="pct"/>
            <w:vMerge/>
            <w:vAlign w:val="center"/>
            <w:hideMark/>
          </w:tcPr>
          <w:p w14:paraId="60F14636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7E8E" w14:textId="1C9A6926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5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C782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895C" w14:textId="3E0B5366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8509" w14:textId="4151E4F9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725A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72A9A" w:rsidRPr="00272A9A" w14:paraId="140F2430" w14:textId="77777777" w:rsidTr="00D62D8E">
        <w:trPr>
          <w:trHeight w:val="20"/>
        </w:trPr>
        <w:tc>
          <w:tcPr>
            <w:tcW w:w="2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B6CA8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47E5" w14:textId="13DA2803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CE04" w14:textId="29E94A4E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  <w:tc>
          <w:tcPr>
            <w:tcW w:w="3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A67A4" w14:textId="1B36D480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BF8B" w14:textId="326DBD5A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EFD7B" w14:textId="48D49D72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</w:tr>
      <w:tr w:rsidR="00272A9A" w:rsidRPr="00272A9A" w14:paraId="37915B29" w14:textId="77777777" w:rsidTr="00D62D8E">
        <w:trPr>
          <w:trHeight w:val="20"/>
        </w:trPr>
        <w:tc>
          <w:tcPr>
            <w:tcW w:w="2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0A60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3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BC8C" w14:textId="7A0B9157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1F1F" w14:textId="07DB6722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  <w:tc>
          <w:tcPr>
            <w:tcW w:w="3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2E76B" w14:textId="01AA25B1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B0B6" w14:textId="024AA643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22D6" w14:textId="6E728E37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</w:tr>
      <w:tr w:rsidR="00272A9A" w:rsidRPr="00272A9A" w14:paraId="44BCD15F" w14:textId="77777777" w:rsidTr="00D62D8E">
        <w:trPr>
          <w:trHeight w:val="20"/>
        </w:trPr>
        <w:tc>
          <w:tcPr>
            <w:tcW w:w="2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3118E" w14:textId="77777777" w:rsidR="00272A9A" w:rsidRPr="00272A9A" w:rsidRDefault="00272A9A" w:rsidP="00272A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37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5060" w14:textId="083D2A46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39E7" w14:textId="38101835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  <w:tc>
          <w:tcPr>
            <w:tcW w:w="3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5A9D" w14:textId="28C9BF91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1114" w14:textId="2E8E8DBE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F026" w14:textId="62CDF4A0" w:rsidR="00272A9A" w:rsidRPr="00272A9A" w:rsidRDefault="00272A9A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104,383.00 </w:t>
            </w:r>
          </w:p>
        </w:tc>
      </w:tr>
      <w:tr w:rsidR="00D62D8E" w:rsidRPr="00272A9A" w14:paraId="70FF6760" w14:textId="77777777" w:rsidTr="00D62D8E">
        <w:trPr>
          <w:trHeight w:val="20"/>
        </w:trPr>
        <w:tc>
          <w:tcPr>
            <w:tcW w:w="2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8696" w14:textId="2F553BE1" w:rsidR="00D62D8E" w:rsidRPr="00272A9A" w:rsidRDefault="00D62D8E" w:rsidP="00D62D8E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City of Escalante</w:t>
            </w: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1284" w14:textId="06BBCCBA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92C9D" w14:textId="6DA9BF4E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104,383.00 </w:t>
            </w:r>
          </w:p>
        </w:tc>
        <w:tc>
          <w:tcPr>
            <w:tcW w:w="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7B00" w14:textId="10902014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5B21" w14:textId="78A0158D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D00AA" w14:textId="36120C6B" w:rsidR="00D62D8E" w:rsidRPr="00272A9A" w:rsidRDefault="00D62D8E" w:rsidP="00272A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A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104,383.00 </w:t>
            </w:r>
          </w:p>
        </w:tc>
      </w:tr>
    </w:tbl>
    <w:p w14:paraId="528D8125" w14:textId="768FC955" w:rsidR="00D62D8E" w:rsidRPr="005A10C2" w:rsidRDefault="00D62D8E" w:rsidP="00D62D8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Note: Ongoing assessment and </w:t>
      </w:r>
      <w:r w:rsidR="004768D6" w:rsidRPr="005A10C2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4768D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36D15DE1" w14:textId="2F874B75" w:rsidR="00272A9A" w:rsidRPr="00D62D8E" w:rsidRDefault="00D62D8E" w:rsidP="00D62D8E">
      <w:pPr>
        <w:widowControl/>
        <w:shd w:val="clear" w:color="auto" w:fill="FFFFFF"/>
        <w:spacing w:after="0" w:line="240" w:lineRule="auto"/>
        <w:ind w:left="3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EB858C" w14:textId="5547AB91" w:rsidR="001149A2" w:rsidRPr="00331AB1" w:rsidRDefault="001149A2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5A10C2" w:rsidRDefault="00C16E9F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FB286CD" w:rsidR="00985089" w:rsidRPr="00331AB1" w:rsidRDefault="001453E6" w:rsidP="009467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4768D6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AB9C3E" w:rsidR="00A424AB" w:rsidRPr="00331AB1" w:rsidRDefault="00E97EC4" w:rsidP="004E1F9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5A10C2" w:rsidRDefault="00E97EC4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50D9E6F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0243FB">
        <w:trPr>
          <w:trHeight w:val="1873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39F864F7" w:rsidR="00BF4481" w:rsidRPr="000243FB" w:rsidRDefault="00BF4481" w:rsidP="000243FB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 w:hanging="283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D0B1F" w14:textId="77777777" w:rsidR="000243FB" w:rsidRDefault="000243FB" w:rsidP="000243FB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VI 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coordination with 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SWAD Negros for the provision of technical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ssistance on CCCM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320A8723" w14:textId="199B8440" w:rsidR="00BF4481" w:rsidRPr="000243FB" w:rsidRDefault="000243FB" w:rsidP="000243FB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of Escalante City provided </w:t>
            </w:r>
            <w:r w:rsidR="00BF4481"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sacks of rice, 10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boxes of sardines, 520 pieces</w:t>
            </w:r>
            <w:r w:rsidR="00BF4481"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coffee, 42 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dozens</w:t>
            </w:r>
            <w:r w:rsidR="00BF4481"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milo, 2 boxes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of mineral water (500 ml) and</w:t>
            </w:r>
            <w:r w:rsidR="00BF4481"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3 boxes of biscuits.</w:t>
            </w:r>
          </w:p>
          <w:p w14:paraId="13AF41CD" w14:textId="03B06C30" w:rsidR="00BF4481" w:rsidRDefault="00BF4481" w:rsidP="00BF448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F4481">
              <w:rPr>
                <w:rFonts w:ascii="Arial" w:eastAsia="Arial" w:hAnsi="Arial" w:cs="Arial"/>
                <w:color w:val="0070C0"/>
                <w:sz w:val="20"/>
                <w:szCs w:val="24"/>
              </w:rPr>
              <w:t>LGU Escalante also prov</w:t>
            </w:r>
            <w:r w:rsid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ided 1 FFP per affected family consisting of </w:t>
            </w:r>
            <w:r w:rsidRPr="00BF448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kilos of rice and 4 </w:t>
            </w:r>
            <w:r w:rsid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cans of sardines.</w:t>
            </w:r>
          </w:p>
          <w:p w14:paraId="22331B5F" w14:textId="1FA830A4" w:rsidR="000243FB" w:rsidRPr="000243FB" w:rsidRDefault="000243FB" w:rsidP="000243FB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VI is in close coordination with PSWDO Negros Occidental and LGU for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further updates and </w:t>
            </w:r>
            <w:r w:rsidRPr="000243FB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 augmentation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support.</w:t>
            </w:r>
          </w:p>
          <w:p w14:paraId="4B00194C" w14:textId="77777777" w:rsidR="00BF4481" w:rsidRPr="00331AB1" w:rsidRDefault="00BF4481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</w:p>
        </w:tc>
      </w:tr>
    </w:tbl>
    <w:p w14:paraId="1E79FE57" w14:textId="77777777" w:rsidR="000243FB" w:rsidRDefault="000243FB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8A7588D" w:rsidR="00B274F2" w:rsidRPr="00331AB1" w:rsidRDefault="001149A2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5A10C2" w:rsidRDefault="00475561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4D95E883" w:rsidR="00C601CE" w:rsidRP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274756BB" w:rsidR="00C9090C" w:rsidRPr="005A10C2" w:rsidRDefault="00C601CE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Default="00C9090C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DFBB92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E4F879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11D5E3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B6777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9D405B" w14:textId="77777777" w:rsidR="000243FB" w:rsidRDefault="000243FB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D08E53" w14:textId="61AA2D89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453E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20E34B8" w14:textId="21CC0FAC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453E6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5B1BE4A" wp14:editId="27035A86">
            <wp:simplePos x="0" y="0"/>
            <wp:positionH relativeFrom="margin">
              <wp:align>left</wp:align>
            </wp:positionH>
            <wp:positionV relativeFrom="paragraph">
              <wp:posOffset>206043</wp:posOffset>
            </wp:positionV>
            <wp:extent cx="3757677" cy="243746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8295486_2401912613236379_54573004483419176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77" cy="243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9369C" w14:textId="61CA1D1F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453E6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3679AFEB" wp14:editId="755EAE06">
            <wp:simplePos x="0" y="0"/>
            <wp:positionH relativeFrom="column">
              <wp:posOffset>3774440</wp:posOffset>
            </wp:positionH>
            <wp:positionV relativeFrom="paragraph">
              <wp:posOffset>9525</wp:posOffset>
            </wp:positionV>
            <wp:extent cx="2202511" cy="2429919"/>
            <wp:effectExtent l="0" t="0" r="762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266531_519743648831772_152154132050870272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11" cy="242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0C840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8F2753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E48075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020D228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2B3793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2FFE396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52681A1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47BEFA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524FB1" w14:textId="76A12615" w:rsidR="001453E6" w:rsidRPr="001453E6" w:rsidRDefault="001453E6" w:rsidP="001453E6">
      <w:pPr>
        <w:jc w:val="center"/>
        <w:rPr>
          <w:b/>
        </w:rPr>
      </w:pPr>
      <w:r w:rsidRPr="001453E6">
        <w:rPr>
          <w:b/>
        </w:rPr>
        <w:t>Registration of IDPs using Disaster Assistance Family Access Card</w:t>
      </w:r>
    </w:p>
    <w:p w14:paraId="7D7D335C" w14:textId="6E33C550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7283E57" w14:textId="53257ED4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C60AA98" wp14:editId="05F8030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476625" cy="2607310"/>
            <wp:effectExtent l="0" t="0" r="952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279992_593835687813471_782261591265299660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C7B6D" w14:textId="1FBEC3D2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6FA540" w14:textId="5B325FD4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1C54BA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DF0371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3EA88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992D37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68473D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81A1BD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269A70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FF9F2B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89FE5B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EF9259" w14:textId="77777777" w:rsid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1BCF5E" w14:textId="77777777" w:rsidR="001453E6" w:rsidRPr="001453E6" w:rsidRDefault="001453E6" w:rsidP="001453E6">
      <w:pPr>
        <w:jc w:val="center"/>
        <w:rPr>
          <w:b/>
        </w:rPr>
      </w:pPr>
      <w:r w:rsidRPr="001453E6">
        <w:rPr>
          <w:b/>
        </w:rPr>
        <w:t>Conduct of MHPSS to affected children (PNRC)</w:t>
      </w:r>
    </w:p>
    <w:p w14:paraId="3ACE1708" w14:textId="77777777" w:rsidR="001453E6" w:rsidRPr="001453E6" w:rsidRDefault="001453E6" w:rsidP="001453E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7152" w14:textId="77777777" w:rsidR="0054430E" w:rsidRDefault="0054430E">
      <w:pPr>
        <w:spacing w:after="0" w:line="240" w:lineRule="auto"/>
      </w:pPr>
      <w:r>
        <w:separator/>
      </w:r>
    </w:p>
  </w:endnote>
  <w:endnote w:type="continuationSeparator" w:id="0">
    <w:p w14:paraId="00AE93F0" w14:textId="77777777" w:rsidR="0054430E" w:rsidRDefault="0054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98920A0" w:rsidR="001149A2" w:rsidRPr="00F24B77" w:rsidRDefault="0082655B" w:rsidP="001453E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243FB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243F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7C3E90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453E6" w:rsidRPr="001453E6">
      <w:rPr>
        <w:rFonts w:ascii="Arial" w:eastAsia="Arial" w:hAnsi="Arial" w:cs="Arial"/>
        <w:sz w:val="14"/>
        <w:szCs w:val="18"/>
      </w:rPr>
      <w:t xml:space="preserve">Armed Conflict </w:t>
    </w:r>
    <w:r w:rsidR="001453E6">
      <w:rPr>
        <w:rFonts w:ascii="Arial" w:eastAsia="Arial" w:hAnsi="Arial" w:cs="Arial"/>
        <w:sz w:val="14"/>
        <w:szCs w:val="18"/>
      </w:rPr>
      <w:t>in</w:t>
    </w:r>
    <w:r w:rsidR="001453E6" w:rsidRPr="001453E6">
      <w:rPr>
        <w:rFonts w:ascii="Arial" w:eastAsia="Arial" w:hAnsi="Arial" w:cs="Arial"/>
        <w:sz w:val="14"/>
        <w:szCs w:val="18"/>
      </w:rPr>
      <w:t xml:space="preserve"> Brgy. Paitan, Escalante, Negros Occidental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CA0240">
      <w:rPr>
        <w:rFonts w:ascii="Arial" w:eastAsia="Arial" w:hAnsi="Arial" w:cs="Arial"/>
        <w:sz w:val="14"/>
        <w:szCs w:val="18"/>
      </w:rPr>
      <w:t>03</w:t>
    </w:r>
    <w:r w:rsidR="00F24B78">
      <w:rPr>
        <w:rFonts w:ascii="Arial" w:eastAsia="Arial" w:hAnsi="Arial" w:cs="Arial"/>
        <w:sz w:val="14"/>
        <w:szCs w:val="18"/>
      </w:rPr>
      <w:t xml:space="preserve"> </w:t>
    </w:r>
    <w:r w:rsidR="000836A4">
      <w:rPr>
        <w:rFonts w:ascii="Arial" w:eastAsia="Arial" w:hAnsi="Arial" w:cs="Arial"/>
        <w:sz w:val="14"/>
        <w:szCs w:val="18"/>
      </w:rPr>
      <w:t>September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CA0240">
      <w:rPr>
        <w:rFonts w:ascii="Arial" w:eastAsia="Arial" w:hAnsi="Arial" w:cs="Arial"/>
        <w:sz w:val="14"/>
        <w:szCs w:val="18"/>
      </w:rPr>
      <w:t>12NN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58B7" w14:textId="77777777" w:rsidR="0054430E" w:rsidRDefault="0054430E">
      <w:pPr>
        <w:spacing w:after="0" w:line="240" w:lineRule="auto"/>
      </w:pPr>
      <w:r>
        <w:separator/>
      </w:r>
    </w:p>
  </w:footnote>
  <w:footnote w:type="continuationSeparator" w:id="0">
    <w:p w14:paraId="41ED8146" w14:textId="77777777" w:rsidR="0054430E" w:rsidRDefault="0054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D402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43B7"/>
    <w:rsid w:val="00135103"/>
    <w:rsid w:val="001453E6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8D6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F282-FCE0-48EA-A2B8-79117C2B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2019-09-03T02:05:00Z</dcterms:created>
  <dcterms:modified xsi:type="dcterms:W3CDTF">2019-09-03T02:34:00Z</dcterms:modified>
</cp:coreProperties>
</file>