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C700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3A08D8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C7001D">
        <w:rPr>
          <w:rFonts w:ascii="Arial" w:eastAsia="Arial" w:hAnsi="Arial" w:cs="Arial"/>
          <w:b/>
          <w:sz w:val="32"/>
          <w:szCs w:val="24"/>
        </w:rPr>
        <w:t xml:space="preserve">the Effects of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551CD3" w:rsidRDefault="003A08D8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</w:t>
      </w:r>
      <w:r w:rsidR="00D84C9E">
        <w:rPr>
          <w:rFonts w:ascii="Arial" w:eastAsia="Arial" w:hAnsi="Arial" w:cs="Arial"/>
          <w:sz w:val="24"/>
          <w:szCs w:val="24"/>
        </w:rPr>
        <w:t>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96E7E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215766" w:rsidRDefault="00215766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215766" w:rsidRPr="00D400BB" w:rsidRDefault="00D400BB" w:rsidP="002304E7">
      <w:pPr>
        <w:spacing w:after="0" w:line="240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This is the final report on the </w:t>
      </w:r>
      <w:r w:rsidR="00FB1A3A" w:rsidRPr="00D400BB">
        <w:rPr>
          <w:rFonts w:ascii="Arial" w:hAnsi="Arial" w:cs="Arial"/>
          <w:i/>
          <w:color w:val="auto"/>
          <w:sz w:val="24"/>
          <w:szCs w:val="24"/>
        </w:rPr>
        <w:t xml:space="preserve">Southwest Monsoon </w:t>
      </w:r>
      <w:r w:rsidRPr="00D400BB">
        <w:rPr>
          <w:rFonts w:ascii="Arial" w:hAnsi="Arial" w:cs="Arial"/>
          <w:i/>
          <w:color w:val="auto"/>
          <w:sz w:val="24"/>
          <w:szCs w:val="24"/>
        </w:rPr>
        <w:t>enhanced by Tropical Depression “Marilyn” which was formed on 12 September 2019</w:t>
      </w:r>
      <w:r w:rsidR="000436FB">
        <w:rPr>
          <w:rFonts w:ascii="Arial" w:hAnsi="Arial" w:cs="Arial"/>
          <w:i/>
          <w:color w:val="auto"/>
          <w:sz w:val="24"/>
          <w:szCs w:val="24"/>
        </w:rPr>
        <w:t xml:space="preserve">. </w:t>
      </w:r>
      <w:r w:rsidR="008055EC" w:rsidRPr="00D400BB">
        <w:rPr>
          <w:rFonts w:ascii="Arial" w:hAnsi="Arial" w:cs="Arial"/>
          <w:i/>
          <w:color w:val="auto"/>
          <w:sz w:val="24"/>
          <w:szCs w:val="24"/>
        </w:rPr>
        <w:t>Though</w:t>
      </w:r>
      <w:r w:rsidR="00D50291" w:rsidRPr="00D400BB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FB1A3A" w:rsidRPr="00D400BB">
        <w:rPr>
          <w:rFonts w:ascii="Arial" w:hAnsi="Arial" w:cs="Arial"/>
          <w:i/>
          <w:color w:val="auto"/>
          <w:sz w:val="24"/>
          <w:szCs w:val="24"/>
        </w:rPr>
        <w:t>TD “Marilyn” exited the Ph</w:t>
      </w:r>
      <w:r w:rsidR="00D50291" w:rsidRPr="00D400BB">
        <w:rPr>
          <w:rFonts w:ascii="Arial" w:hAnsi="Arial" w:cs="Arial"/>
          <w:i/>
          <w:color w:val="auto"/>
          <w:sz w:val="24"/>
          <w:szCs w:val="24"/>
        </w:rPr>
        <w:t>ilippine Area of Responsibility on 15 September 2019, the S</w:t>
      </w:r>
      <w:r w:rsidR="00FB63A0" w:rsidRPr="00D400BB">
        <w:rPr>
          <w:rFonts w:ascii="Arial" w:hAnsi="Arial" w:cs="Arial"/>
          <w:i/>
          <w:color w:val="auto"/>
          <w:sz w:val="24"/>
          <w:szCs w:val="24"/>
        </w:rPr>
        <w:t xml:space="preserve">outhwest Monsoon </w:t>
      </w:r>
      <w:r w:rsidR="00081DAB">
        <w:rPr>
          <w:rFonts w:ascii="Arial" w:hAnsi="Arial" w:cs="Arial"/>
          <w:i/>
          <w:color w:val="auto"/>
          <w:sz w:val="24"/>
          <w:szCs w:val="24"/>
        </w:rPr>
        <w:t xml:space="preserve">brought </w:t>
      </w:r>
      <w:r w:rsidR="00FB1A3A" w:rsidRPr="00D400BB">
        <w:rPr>
          <w:rFonts w:ascii="Arial" w:hAnsi="Arial" w:cs="Arial"/>
          <w:i/>
          <w:color w:val="auto"/>
          <w:sz w:val="24"/>
          <w:szCs w:val="24"/>
        </w:rPr>
        <w:t xml:space="preserve">cloudy skies with scattered </w:t>
      </w:r>
      <w:r w:rsidR="00865316" w:rsidRPr="00D400BB">
        <w:rPr>
          <w:rFonts w:ascii="Arial" w:hAnsi="Arial" w:cs="Arial"/>
          <w:i/>
          <w:color w:val="auto"/>
          <w:sz w:val="24"/>
          <w:szCs w:val="24"/>
        </w:rPr>
        <w:t>rain showers</w:t>
      </w:r>
      <w:r w:rsidR="00FB1A3A" w:rsidRPr="00D400BB">
        <w:rPr>
          <w:rFonts w:ascii="Arial" w:hAnsi="Arial" w:cs="Arial"/>
          <w:i/>
          <w:color w:val="auto"/>
          <w:sz w:val="24"/>
          <w:szCs w:val="24"/>
        </w:rPr>
        <w:t xml:space="preserve"> and thunderstorms that may cause p</w:t>
      </w:r>
      <w:r w:rsidR="002B58D3" w:rsidRPr="00D400BB">
        <w:rPr>
          <w:rFonts w:ascii="Arial" w:hAnsi="Arial" w:cs="Arial"/>
          <w:i/>
          <w:color w:val="auto"/>
          <w:sz w:val="24"/>
          <w:szCs w:val="24"/>
        </w:rPr>
        <w:t>ossible flash</w:t>
      </w:r>
      <w:r w:rsidR="00FB1A3A" w:rsidRPr="00D400BB">
        <w:rPr>
          <w:rFonts w:ascii="Arial" w:hAnsi="Arial" w:cs="Arial"/>
          <w:i/>
          <w:color w:val="auto"/>
          <w:sz w:val="24"/>
          <w:szCs w:val="24"/>
        </w:rPr>
        <w:t>floods or landslides due to occasional heavy rains.</w:t>
      </w:r>
      <w:r w:rsidR="000436FB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081DAB">
        <w:rPr>
          <w:rFonts w:ascii="Arial" w:hAnsi="Arial" w:cs="Arial"/>
          <w:i/>
          <w:color w:val="auto"/>
          <w:sz w:val="24"/>
          <w:szCs w:val="24"/>
        </w:rPr>
        <w:t>Likewise, onset of Northeast</w:t>
      </w:r>
      <w:r w:rsidR="000436FB">
        <w:rPr>
          <w:rFonts w:ascii="Arial" w:hAnsi="Arial" w:cs="Arial"/>
          <w:i/>
          <w:color w:val="auto"/>
          <w:sz w:val="24"/>
          <w:szCs w:val="24"/>
        </w:rPr>
        <w:t xml:space="preserve"> Monsoon </w:t>
      </w:r>
      <w:r w:rsidR="00081DAB">
        <w:rPr>
          <w:rFonts w:ascii="Arial" w:hAnsi="Arial" w:cs="Arial"/>
          <w:i/>
          <w:color w:val="auto"/>
          <w:sz w:val="24"/>
          <w:szCs w:val="24"/>
        </w:rPr>
        <w:t xml:space="preserve">was declared </w:t>
      </w:r>
      <w:r w:rsidR="000436FB">
        <w:rPr>
          <w:rFonts w:ascii="Arial" w:hAnsi="Arial" w:cs="Arial"/>
          <w:i/>
          <w:color w:val="auto"/>
          <w:sz w:val="24"/>
          <w:szCs w:val="24"/>
        </w:rPr>
        <w:t xml:space="preserve">on </w:t>
      </w:r>
      <w:r w:rsidR="00081DAB">
        <w:rPr>
          <w:rFonts w:ascii="Arial" w:hAnsi="Arial" w:cs="Arial"/>
          <w:i/>
          <w:color w:val="auto"/>
          <w:sz w:val="24"/>
          <w:szCs w:val="24"/>
        </w:rPr>
        <w:t xml:space="preserve">25 October 2019 </w:t>
      </w:r>
      <w:r w:rsidR="000436FB">
        <w:rPr>
          <w:rFonts w:ascii="Arial" w:hAnsi="Arial" w:cs="Arial"/>
          <w:i/>
          <w:color w:val="auto"/>
          <w:sz w:val="24"/>
          <w:szCs w:val="24"/>
        </w:rPr>
        <w:t>per PAGASA Report</w:t>
      </w:r>
      <w:r w:rsidR="00081DAB">
        <w:rPr>
          <w:rFonts w:ascii="Arial" w:hAnsi="Arial" w:cs="Arial"/>
          <w:i/>
          <w:color w:val="auto"/>
          <w:sz w:val="24"/>
          <w:szCs w:val="24"/>
        </w:rPr>
        <w:t>.</w:t>
      </w:r>
    </w:p>
    <w:p w:rsidR="00D400BB" w:rsidRDefault="00A81C78" w:rsidP="00C7001D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C7001D" w:rsidRDefault="00C7001D" w:rsidP="00C7001D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D400BB" w:rsidRPr="00551CD3" w:rsidRDefault="00D400BB" w:rsidP="00D400BB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2304E7" w:rsidRPr="00215766" w:rsidRDefault="002304E7" w:rsidP="00D400BB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:rsidR="00446D5E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Pr="00D400BB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400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 total of</w:t>
      </w:r>
      <w:r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50291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3,</w:t>
      </w:r>
      <w:r w:rsidR="00C375E0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125</w:t>
      </w:r>
      <w:r w:rsidR="00D50291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5D5C"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="00D50291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15,</w:t>
      </w:r>
      <w:r w:rsidR="00C375E0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436</w:t>
      </w:r>
      <w:r w:rsidR="00D50291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were affected by the effects of </w:t>
      </w:r>
      <w:r w:rsidR="00250A39"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Southwest Monsoon enhanced by </w:t>
      </w:r>
      <w:r w:rsidR="00FB63A0"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TD </w:t>
      </w:r>
      <w:r w:rsidR="00425D5C"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>“Marilyn”</w:t>
      </w:r>
      <w:r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="00D50291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32</w:t>
      </w:r>
      <w:r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barangays </w:t>
      </w:r>
      <w:r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Pr="00D400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FB1A3A" w:rsidRPr="00D400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Pr="00D400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</w:t>
      </w:r>
      <w:r w:rsidR="00425D5C" w:rsidRPr="00D400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X</w:t>
      </w:r>
      <w:r w:rsidR="00D75F00" w:rsidRPr="00D400B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XI</w:t>
      </w:r>
      <w:r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400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and</w:t>
      </w:r>
      <w:r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25D5C" w:rsidRPr="00D400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XII </w:t>
      </w:r>
      <w:r w:rsidRPr="00D400BB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:rsidR="00446D5E" w:rsidRDefault="00446D5E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482"/>
        <w:gridCol w:w="2765"/>
        <w:gridCol w:w="2269"/>
        <w:gridCol w:w="2269"/>
      </w:tblGrid>
      <w:tr w:rsidR="00196E7E" w:rsidRPr="00196E7E" w:rsidTr="00196E7E">
        <w:trPr>
          <w:trHeight w:val="20"/>
          <w:tblHeader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96E7E" w:rsidRPr="00196E7E" w:rsidTr="00196E7E">
        <w:trPr>
          <w:trHeight w:val="20"/>
          <w:tblHeader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15,436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8,207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710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7,497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7,497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7,094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624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</w:tr>
      <w:tr w:rsidR="00196E7E" w:rsidRPr="00196E7E" w:rsidTr="00196E7E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E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6,470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2,080 </w:t>
            </w:r>
          </w:p>
        </w:tc>
      </w:tr>
      <w:tr w:rsidR="00196E7E" w:rsidRPr="00196E7E" w:rsidTr="00196E7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6E7E" w:rsidRPr="00196E7E" w:rsidRDefault="00196E7E" w:rsidP="00196E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6E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4,390 </w:t>
            </w:r>
          </w:p>
        </w:tc>
      </w:tr>
    </w:tbl>
    <w:p w:rsidR="002B58D3" w:rsidRPr="00C7001D" w:rsidRDefault="00563741" w:rsidP="00C7001D">
      <w:pPr>
        <w:widowControl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551CD3"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563741" w:rsidRPr="000F55EC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</w:p>
    <w:p w:rsidR="00446D5E" w:rsidRDefault="00563741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Pr="0003177A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3177A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0317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36FB">
        <w:rPr>
          <w:rFonts w:ascii="Arial" w:eastAsia="Arial" w:hAnsi="Arial" w:cs="Arial"/>
          <w:b/>
          <w:color w:val="auto"/>
          <w:sz w:val="24"/>
          <w:szCs w:val="24"/>
        </w:rPr>
        <w:t>1,240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0436FB">
        <w:rPr>
          <w:rFonts w:ascii="Arial" w:eastAsia="Arial" w:hAnsi="Arial" w:cs="Arial"/>
          <w:b/>
          <w:color w:val="auto"/>
          <w:sz w:val="24"/>
          <w:szCs w:val="24"/>
        </w:rPr>
        <w:t>,988</w:t>
      </w:r>
      <w:r w:rsidR="00214C3F"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36FB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shelter in </w:t>
      </w:r>
      <w:r w:rsidR="000436FB" w:rsidRPr="000436FB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1E1BBA" w:rsidRPr="0003177A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Pr="0003177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  <w:r w:rsidRPr="0003177A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03177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436FB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1E1BBA" w:rsidRPr="0003177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436FB">
        <w:rPr>
          <w:rFonts w:ascii="Arial" w:eastAsia="Times New Roman" w:hAnsi="Arial" w:cs="Arial"/>
          <w:b/>
          <w:color w:val="auto"/>
          <w:sz w:val="24"/>
          <w:szCs w:val="24"/>
        </w:rPr>
        <w:t xml:space="preserve">IX, XI </w:t>
      </w:r>
      <w:r w:rsidR="000436FB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C6153C" w:rsidRPr="0003177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="00D75F00" w:rsidRPr="0003177A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 w:rsidRPr="0003177A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69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527"/>
        <w:gridCol w:w="1475"/>
        <w:gridCol w:w="1660"/>
        <w:gridCol w:w="1411"/>
        <w:gridCol w:w="1411"/>
        <w:gridCol w:w="1411"/>
        <w:gridCol w:w="1391"/>
      </w:tblGrid>
      <w:tr w:rsidR="00427999" w:rsidRPr="000436FB" w:rsidTr="00427999">
        <w:trPr>
          <w:trHeight w:val="177"/>
        </w:trPr>
        <w:tc>
          <w:tcPr>
            <w:tcW w:w="19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999" w:rsidRPr="000436FB" w:rsidRDefault="00427999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999" w:rsidRPr="000436FB" w:rsidRDefault="00427999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999" w:rsidRPr="000436FB" w:rsidRDefault="00427999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5,988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5,382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427999">
        <w:trPr>
          <w:trHeight w:val="20"/>
        </w:trPr>
        <w:tc>
          <w:tcPr>
            <w:tcW w:w="1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436FB" w:rsidRPr="000436FB" w:rsidTr="00427999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2304E7" w:rsidRDefault="00563741" w:rsidP="00C7001D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C7001D" w:rsidRPr="00C7001D" w:rsidRDefault="00C7001D" w:rsidP="00C7001D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8F5465" w:rsidRDefault="00425D5C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551CD3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03177A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1,</w:t>
      </w:r>
      <w:r w:rsidR="008E7E32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32</w:t>
      </w:r>
      <w:r w:rsidR="004567C6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0</w:t>
      </w:r>
      <w:r w:rsidR="0003177A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03177A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6,</w:t>
      </w:r>
      <w:r w:rsidR="008E7E32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623</w:t>
      </w:r>
      <w:r w:rsidR="0003177A"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8E7E32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7E32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P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A3A" w:rsidRPr="008E7E32">
        <w:rPr>
          <w:rFonts w:ascii="Arial" w:eastAsia="Arial" w:hAnsi="Arial" w:cs="Arial"/>
          <w:color w:val="000000" w:themeColor="text1"/>
          <w:sz w:val="24"/>
          <w:szCs w:val="24"/>
        </w:rPr>
        <w:t>temporarily stay</w:t>
      </w:r>
      <w:r w:rsid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ed </w:t>
      </w:r>
      <w:r w:rsidRP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with their relatives and/or friends in </w:t>
      </w:r>
      <w:r w:rsidRPr="008E7E3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8E7E3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="001E1BBA" w:rsidRPr="008E7E3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8E7E3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XI </w:t>
      </w:r>
      <w:r w:rsidR="008E7E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Pr="008E7E3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XII</w:t>
      </w:r>
      <w:r w:rsidRPr="008E7E32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3).</w:t>
      </w:r>
    </w:p>
    <w:p w:rsidR="00551CD3" w:rsidRPr="00551CD3" w:rsidRDefault="00551CD3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2304E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62F7C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71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943"/>
        <w:gridCol w:w="1713"/>
        <w:gridCol w:w="1713"/>
        <w:gridCol w:w="1976"/>
        <w:gridCol w:w="1979"/>
      </w:tblGrid>
      <w:tr w:rsidR="000436FB" w:rsidRPr="000436FB" w:rsidTr="00C7001D">
        <w:trPr>
          <w:trHeight w:val="32"/>
          <w:tblHeader/>
        </w:trPr>
        <w:tc>
          <w:tcPr>
            <w:tcW w:w="24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436FB" w:rsidRPr="000436FB" w:rsidTr="00C7001D">
        <w:trPr>
          <w:trHeight w:val="20"/>
          <w:tblHeader/>
        </w:trPr>
        <w:tc>
          <w:tcPr>
            <w:tcW w:w="2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36FB" w:rsidRPr="000436FB" w:rsidTr="00C7001D">
        <w:trPr>
          <w:trHeight w:val="20"/>
          <w:tblHeader/>
        </w:trPr>
        <w:tc>
          <w:tcPr>
            <w:tcW w:w="2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36FB" w:rsidRPr="000436FB" w:rsidTr="000436FB">
        <w:trPr>
          <w:trHeight w:val="20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1,320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6,623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0436FB">
        <w:trPr>
          <w:trHeight w:val="20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0436FB">
        <w:trPr>
          <w:trHeight w:val="20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0436F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436FB" w:rsidRPr="000436FB" w:rsidTr="000436FB">
        <w:trPr>
          <w:trHeight w:val="20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XII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1,310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6,578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0436FB">
        <w:trPr>
          <w:trHeight w:val="20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0436F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436FB" w:rsidRPr="000436FB" w:rsidTr="000436FB">
        <w:trPr>
          <w:trHeight w:val="20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1,215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6,075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436FB" w:rsidRPr="000436FB" w:rsidTr="000436F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436FB" w:rsidRPr="000436FB" w:rsidTr="000436F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4,390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36FB" w:rsidRPr="000436FB" w:rsidRDefault="000436FB" w:rsidP="00043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36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F76AA9" w:rsidRDefault="00425D5C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2304E7" w:rsidRDefault="002304E7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25D5C" w:rsidRPr="00AA7CD0" w:rsidRDefault="00425D5C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475C3E" w:rsidRDefault="008E7E32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A total of</w:t>
      </w:r>
      <w:r w:rsidR="00425D5C" w:rsidRPr="00475C3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52771" w:rsidRPr="00475C3E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11CA3" w:rsidRPr="00475C3E">
        <w:rPr>
          <w:rFonts w:ascii="Arial" w:hAnsi="Arial" w:cs="Arial"/>
          <w:b/>
          <w:bCs/>
          <w:color w:val="auto"/>
          <w:sz w:val="24"/>
          <w:szCs w:val="24"/>
        </w:rPr>
        <w:t>99</w:t>
      </w:r>
      <w:r w:rsidR="00425D5C" w:rsidRPr="00475C3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25A77" w:rsidRPr="00475C3E">
        <w:rPr>
          <w:rFonts w:ascii="Arial" w:hAnsi="Arial" w:cs="Arial"/>
          <w:b/>
          <w:bCs/>
          <w:color w:val="auto"/>
          <w:sz w:val="24"/>
          <w:szCs w:val="24"/>
        </w:rPr>
        <w:t xml:space="preserve">damaged </w:t>
      </w:r>
      <w:r w:rsidR="00425D5C" w:rsidRPr="00475C3E">
        <w:rPr>
          <w:rFonts w:ascii="Arial" w:hAnsi="Arial" w:cs="Arial"/>
          <w:b/>
          <w:bCs/>
          <w:color w:val="auto"/>
          <w:sz w:val="24"/>
          <w:szCs w:val="24"/>
        </w:rPr>
        <w:t>houses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E7E32">
        <w:rPr>
          <w:rFonts w:ascii="Arial" w:hAnsi="Arial" w:cs="Arial"/>
          <w:bCs/>
          <w:color w:val="auto"/>
          <w:sz w:val="24"/>
          <w:szCs w:val="24"/>
        </w:rPr>
        <w:t>were reported</w:t>
      </w:r>
      <w:r w:rsidR="00425A77" w:rsidRPr="00475C3E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52771" w:rsidRPr="00475C3E">
        <w:rPr>
          <w:rFonts w:ascii="Arial" w:hAnsi="Arial" w:cs="Arial"/>
          <w:b/>
          <w:bCs/>
          <w:color w:val="auto"/>
          <w:sz w:val="24"/>
          <w:szCs w:val="24"/>
        </w:rPr>
        <w:t>44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we</w:t>
      </w:r>
      <w:r w:rsidR="00425A77" w:rsidRPr="00475C3E">
        <w:rPr>
          <w:rFonts w:ascii="Arial" w:hAnsi="Arial" w:cs="Arial"/>
          <w:bCs/>
          <w:color w:val="auto"/>
          <w:sz w:val="24"/>
          <w:szCs w:val="24"/>
        </w:rPr>
        <w:t xml:space="preserve">re </w:t>
      </w:r>
      <w:r w:rsidR="00425A77" w:rsidRPr="00475C3E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425A77" w:rsidRPr="00475C3E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B11CA3" w:rsidRPr="00475C3E">
        <w:rPr>
          <w:rFonts w:ascii="Arial" w:hAnsi="Arial" w:cs="Arial"/>
          <w:b/>
          <w:bCs/>
          <w:color w:val="auto"/>
          <w:sz w:val="24"/>
          <w:szCs w:val="24"/>
        </w:rPr>
        <w:t>155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we</w:t>
      </w:r>
      <w:r w:rsidR="00425A77" w:rsidRPr="00475C3E">
        <w:rPr>
          <w:rFonts w:ascii="Arial" w:hAnsi="Arial" w:cs="Arial"/>
          <w:bCs/>
          <w:color w:val="auto"/>
          <w:sz w:val="24"/>
          <w:szCs w:val="24"/>
        </w:rPr>
        <w:t xml:space="preserve">re </w:t>
      </w:r>
      <w:r w:rsidR="00425A77" w:rsidRPr="00475C3E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425A77" w:rsidRPr="00475C3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25D5C" w:rsidRPr="00475C3E">
        <w:rPr>
          <w:rFonts w:ascii="Arial" w:hAnsi="Arial" w:cs="Arial"/>
          <w:color w:val="auto"/>
          <w:sz w:val="24"/>
          <w:szCs w:val="24"/>
        </w:rPr>
        <w:t>(see Table 4).</w:t>
      </w:r>
    </w:p>
    <w:p w:rsidR="00425D5C" w:rsidRPr="00BF1805" w:rsidRDefault="00425D5C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551CD3" w:rsidRDefault="00425D5C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595"/>
        <w:gridCol w:w="1574"/>
        <w:gridCol w:w="2660"/>
        <w:gridCol w:w="2963"/>
      </w:tblGrid>
      <w:tr w:rsidR="0003177A" w:rsidRPr="0003177A" w:rsidTr="004414B0">
        <w:trPr>
          <w:trHeight w:val="20"/>
        </w:trPr>
        <w:tc>
          <w:tcPr>
            <w:tcW w:w="2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3177A" w:rsidRPr="0003177A" w:rsidTr="004414B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03177A" w:rsidRPr="0003177A" w:rsidTr="004414B0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7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3177A" w:rsidRPr="0003177A" w:rsidTr="004414B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  <w:tr w:rsidR="0003177A" w:rsidRPr="0003177A" w:rsidTr="004414B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77A" w:rsidRPr="0003177A" w:rsidRDefault="0003177A" w:rsidP="000317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17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:rsidR="008E7E32" w:rsidRDefault="00425D5C" w:rsidP="00C7001D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C7001D" w:rsidRPr="0003177A" w:rsidRDefault="00C7001D" w:rsidP="00C7001D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90012" w:rsidRPr="00690012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8E7E32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7E3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D92F1C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1,640,190.50 </w:t>
      </w:r>
      <w:r w:rsidRPr="008E7E32">
        <w:rPr>
          <w:rFonts w:ascii="Arial" w:hAnsi="Arial" w:cs="Arial"/>
          <w:bCs/>
          <w:color w:val="000000" w:themeColor="text1"/>
          <w:sz w:val="24"/>
          <w:szCs w:val="24"/>
        </w:rPr>
        <w:t>worth of assistance was provided to the affected families</w:t>
      </w:r>
      <w:r w:rsidR="00E16892" w:rsidRPr="008E7E32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690012" w:rsidRPr="008E7E3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16892" w:rsidRPr="008E7E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6892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D92F1C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1,211,125.50 </w:t>
      </w:r>
      <w:r w:rsidR="00E16892" w:rsidRPr="008E7E32">
        <w:rPr>
          <w:rFonts w:ascii="Arial" w:hAnsi="Arial" w:cs="Arial"/>
          <w:bCs/>
          <w:color w:val="000000" w:themeColor="text1"/>
          <w:sz w:val="24"/>
          <w:szCs w:val="24"/>
        </w:rPr>
        <w:t xml:space="preserve">was provided by </w:t>
      </w:r>
      <w:r w:rsidR="00E16892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DSWD</w:t>
      </w:r>
      <w:r w:rsidR="00E16892" w:rsidRPr="008E7E32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="00E16892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772106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429,065</w:t>
      </w:r>
      <w:r w:rsidR="00E16892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.00</w:t>
      </w:r>
      <w:r w:rsidR="00E16892" w:rsidRPr="008E7E32">
        <w:rPr>
          <w:rFonts w:ascii="Arial" w:hAnsi="Arial" w:cs="Arial"/>
          <w:bCs/>
          <w:color w:val="000000" w:themeColor="text1"/>
          <w:sz w:val="24"/>
          <w:szCs w:val="24"/>
        </w:rPr>
        <w:t xml:space="preserve"> from </w:t>
      </w:r>
      <w:r w:rsidR="00E16892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LGU</w:t>
      </w:r>
      <w:r w:rsidR="002304E7" w:rsidRPr="008E7E32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8E7E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7E32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FB1A3A" w:rsidRPr="008E7E32">
        <w:rPr>
          <w:rFonts w:ascii="Arial" w:hAnsi="Arial" w:cs="Arial"/>
          <w:color w:val="000000" w:themeColor="text1"/>
          <w:sz w:val="24"/>
          <w:szCs w:val="24"/>
        </w:rPr>
        <w:t>5</w:t>
      </w:r>
      <w:r w:rsidRPr="008E7E3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63741" w:rsidRDefault="00563741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230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763"/>
        <w:gridCol w:w="1510"/>
        <w:gridCol w:w="1335"/>
        <w:gridCol w:w="1076"/>
        <w:gridCol w:w="1606"/>
        <w:gridCol w:w="1636"/>
      </w:tblGrid>
      <w:tr w:rsidR="00B361C5" w:rsidRPr="008E7E32" w:rsidTr="00C7001D">
        <w:trPr>
          <w:trHeight w:val="20"/>
          <w:tblHeader/>
        </w:trPr>
        <w:tc>
          <w:tcPr>
            <w:tcW w:w="2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361C5" w:rsidRPr="008E7E32" w:rsidTr="00C7001D">
        <w:trPr>
          <w:trHeight w:val="20"/>
          <w:tblHeader/>
        </w:trPr>
        <w:tc>
          <w:tcPr>
            <w:tcW w:w="2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8E7E3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61C5" w:rsidRPr="008E7E32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1,211,125.50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1,640,190.50 </w:t>
            </w:r>
          </w:p>
        </w:tc>
      </w:tr>
      <w:tr w:rsidR="00B361C5" w:rsidRPr="008E7E32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614,762.50 </w:t>
            </w:r>
          </w:p>
        </w:tc>
      </w:tr>
      <w:tr w:rsidR="00B361C5" w:rsidRPr="008E7E32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614,762.50 </w:t>
            </w:r>
          </w:p>
        </w:tc>
      </w:tr>
      <w:tr w:rsidR="00B361C5" w:rsidRPr="008E7E32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</w:tr>
      <w:tr w:rsidR="00B361C5" w:rsidRPr="008E7E32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596,363.00 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1,025,428.00 </w:t>
            </w:r>
          </w:p>
        </w:tc>
      </w:tr>
      <w:tr w:rsidR="00B361C5" w:rsidRPr="008E7E32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77,469.00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131,469.00 </w:t>
            </w:r>
          </w:p>
        </w:tc>
      </w:tr>
      <w:tr w:rsidR="00B361C5" w:rsidRPr="008E7E32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</w:t>
            </w:r>
            <w:proofErr w:type="spellStart"/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Dadiangas</w:t>
            </w:r>
            <w:proofErr w:type="spellEnd"/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77,469.00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131,469.00 </w:t>
            </w:r>
          </w:p>
        </w:tc>
      </w:tr>
      <w:tr w:rsidR="00B361C5" w:rsidRPr="008E7E32" w:rsidTr="00B361C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Sultan </w:t>
            </w:r>
            <w:proofErr w:type="spellStart"/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518,894.00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893,959.00 </w:t>
            </w:r>
          </w:p>
        </w:tc>
      </w:tr>
      <w:tr w:rsidR="00B361C5" w:rsidRPr="008E7E32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166,816.00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375,065.00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541,881.00 </w:t>
            </w:r>
          </w:p>
        </w:tc>
      </w:tr>
      <w:tr w:rsidR="00B361C5" w:rsidRPr="008E7E32" w:rsidTr="00B361C5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352,078.00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61C5" w:rsidRPr="008E7E32" w:rsidRDefault="00B361C5" w:rsidP="00B361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7E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352,078.00 </w:t>
            </w:r>
          </w:p>
        </w:tc>
      </w:tr>
    </w:tbl>
    <w:p w:rsidR="002304E7" w:rsidRDefault="00563741" w:rsidP="00FE2B99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FE2B99" w:rsidRPr="00FE2B99" w:rsidRDefault="00FE2B99" w:rsidP="00FE2B99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81C78" w:rsidRPr="00D46740" w:rsidRDefault="00A81C78" w:rsidP="002304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6301A2" w:rsidRDefault="006301A2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Contact_Information"/>
      <w:bookmarkEnd w:id="7"/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7001D">
        <w:trPr>
          <w:trHeight w:val="4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C7001D" w:rsidP="00C700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Dece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Default="00231BB6" w:rsidP="00C700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DSWDO-FO IX </w:t>
            </w:r>
            <w:r w:rsidR="00C7001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C7001D" w:rsidRPr="00C7001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:rsidR="00FE2B99" w:rsidRPr="001E1BBA" w:rsidRDefault="00FE2B99" w:rsidP="00FE2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IX provided family food packs worth 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198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000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.00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sleeping kits amounting to 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416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762.5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the affected families.</w:t>
            </w:r>
          </w:p>
        </w:tc>
      </w:tr>
    </w:tbl>
    <w:p w:rsidR="000A0E3E" w:rsidRDefault="000A0E3E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A32CB" w:rsidRPr="006743D3" w:rsidTr="00551CD3">
        <w:trPr>
          <w:trHeight w:val="30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32CB" w:rsidRPr="001E1BBA" w:rsidRDefault="00DA32CB" w:rsidP="00DA32C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Dece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32CB" w:rsidRPr="001E1BBA" w:rsidRDefault="00DA32CB" w:rsidP="00DA3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DSWDO-FO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C7001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1E1BBA" w:rsidRDefault="001E1BBA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8E7E32" w:rsidRDefault="00DA32CB" w:rsidP="005B3E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Dece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32CB" w:rsidRDefault="00DA32CB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DSWDO-FO XII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C7001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  <w:p w:rsidR="00B07CCF" w:rsidRPr="00DA32CB" w:rsidRDefault="00B11CA3" w:rsidP="00DA32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DSWD-FO XII provided a total of ₱</w:t>
            </w:r>
            <w:r w:rsidR="003C4C82"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596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="003C4C82"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363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.00 worth of assistance; of which, 1</w:t>
            </w:r>
            <w:r w:rsidR="003C4C82"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,413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family food packs amounting to ₱</w:t>
            </w:r>
            <w:r w:rsidR="003C4C82"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566,613.00 </w:t>
            </w:r>
            <w:r w:rsidRPr="008E7E32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and 119 plastic mats worth ₱29,750.00 were provided to the affected families. </w:t>
            </w:r>
          </w:p>
        </w:tc>
      </w:tr>
    </w:tbl>
    <w:p w:rsidR="00FE2B99" w:rsidRDefault="00FE2B99" w:rsidP="00FE2B9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11916" w:rsidRPr="00FE2B99" w:rsidRDefault="00411916" w:rsidP="00FE2B9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FE2B99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E2B99" w:rsidRDefault="00C7001D" w:rsidP="00C7001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E2B99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 field offices for any request of Technical Assistance and Resource Augmentation (TARA).</w:t>
      </w:r>
    </w:p>
    <w:p w:rsidR="00772106" w:rsidRPr="00FE2B99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</w:p>
    <w:p w:rsidR="004B7668" w:rsidRPr="00FE2B99" w:rsidRDefault="008E7E32" w:rsidP="002304E7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FE2B99">
        <w:rPr>
          <w:rFonts w:ascii="Arial" w:eastAsia="Arial" w:hAnsi="Arial" w:cs="Arial"/>
          <w:sz w:val="20"/>
          <w:szCs w:val="20"/>
        </w:rPr>
        <w:t>Prepared by:</w:t>
      </w:r>
      <w:r w:rsidR="00FE2B99">
        <w:rPr>
          <w:rFonts w:ascii="Arial" w:eastAsia="Arial" w:hAnsi="Arial" w:cs="Arial"/>
          <w:sz w:val="20"/>
          <w:szCs w:val="20"/>
        </w:rPr>
        <w:tab/>
      </w:r>
      <w:r w:rsidR="00FE2B99">
        <w:rPr>
          <w:rFonts w:ascii="Arial" w:eastAsia="Arial" w:hAnsi="Arial" w:cs="Arial"/>
          <w:sz w:val="20"/>
          <w:szCs w:val="20"/>
        </w:rPr>
        <w:tab/>
      </w:r>
      <w:r w:rsidR="00FE2B99">
        <w:rPr>
          <w:rFonts w:ascii="Arial" w:eastAsia="Arial" w:hAnsi="Arial" w:cs="Arial"/>
          <w:sz w:val="20"/>
          <w:szCs w:val="20"/>
        </w:rPr>
        <w:tab/>
      </w:r>
      <w:r w:rsidR="00FE2B99">
        <w:rPr>
          <w:rFonts w:ascii="Arial" w:eastAsia="Arial" w:hAnsi="Arial" w:cs="Arial"/>
          <w:sz w:val="20"/>
          <w:szCs w:val="20"/>
        </w:rPr>
        <w:tab/>
      </w:r>
      <w:r w:rsidR="00FE2B99">
        <w:rPr>
          <w:rFonts w:ascii="Arial" w:eastAsia="Arial" w:hAnsi="Arial" w:cs="Arial"/>
          <w:sz w:val="20"/>
          <w:szCs w:val="20"/>
        </w:rPr>
        <w:tab/>
      </w:r>
      <w:r w:rsidR="00FE2B99">
        <w:rPr>
          <w:rFonts w:ascii="Arial" w:eastAsia="Arial" w:hAnsi="Arial" w:cs="Arial"/>
          <w:sz w:val="20"/>
          <w:szCs w:val="20"/>
        </w:rPr>
        <w:tab/>
      </w:r>
      <w:r w:rsidR="00FE2B99" w:rsidRPr="00FE2B99">
        <w:rPr>
          <w:rFonts w:ascii="Arial" w:eastAsia="Arial" w:hAnsi="Arial" w:cs="Arial"/>
          <w:sz w:val="20"/>
          <w:szCs w:val="20"/>
        </w:rPr>
        <w:t>Releasing Officer</w:t>
      </w:r>
    </w:p>
    <w:p w:rsidR="004B7668" w:rsidRPr="00FE2B99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:rsidR="004B7668" w:rsidRPr="00FE2B99" w:rsidRDefault="00551CD3" w:rsidP="002304E7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FE2B99">
        <w:rPr>
          <w:rFonts w:ascii="Arial" w:eastAsia="Arial" w:hAnsi="Arial" w:cs="Arial"/>
          <w:b/>
          <w:sz w:val="20"/>
          <w:szCs w:val="20"/>
        </w:rPr>
        <w:t>MARIE</w:t>
      </w:r>
      <w:r w:rsidR="008E7E32" w:rsidRPr="00FE2B99">
        <w:rPr>
          <w:rFonts w:ascii="Arial" w:eastAsia="Arial" w:hAnsi="Arial" w:cs="Arial"/>
          <w:b/>
          <w:sz w:val="20"/>
          <w:szCs w:val="20"/>
        </w:rPr>
        <w:t xml:space="preserve"> JOYCE G. RAFANAN</w:t>
      </w:r>
      <w:r w:rsidR="00FE2B99">
        <w:rPr>
          <w:rFonts w:ascii="Arial" w:eastAsia="Arial" w:hAnsi="Arial" w:cs="Arial"/>
          <w:b/>
          <w:sz w:val="20"/>
          <w:szCs w:val="20"/>
        </w:rPr>
        <w:tab/>
      </w:r>
      <w:r w:rsidR="00FE2B99">
        <w:rPr>
          <w:rFonts w:ascii="Arial" w:eastAsia="Arial" w:hAnsi="Arial" w:cs="Arial"/>
          <w:b/>
          <w:sz w:val="20"/>
          <w:szCs w:val="20"/>
        </w:rPr>
        <w:tab/>
      </w:r>
      <w:r w:rsidR="00FE2B99">
        <w:rPr>
          <w:rFonts w:ascii="Arial" w:eastAsia="Arial" w:hAnsi="Arial" w:cs="Arial"/>
          <w:b/>
          <w:sz w:val="20"/>
          <w:szCs w:val="20"/>
        </w:rPr>
        <w:tab/>
      </w:r>
      <w:r w:rsidR="00FE2B99">
        <w:rPr>
          <w:rFonts w:ascii="Arial" w:eastAsia="Arial" w:hAnsi="Arial" w:cs="Arial"/>
          <w:b/>
          <w:sz w:val="20"/>
          <w:szCs w:val="20"/>
        </w:rPr>
        <w:tab/>
      </w:r>
      <w:r w:rsidR="00FE2B99" w:rsidRPr="00FE2B99">
        <w:rPr>
          <w:rFonts w:ascii="Arial" w:eastAsia="Arial" w:hAnsi="Arial" w:cs="Arial"/>
          <w:b/>
          <w:sz w:val="20"/>
          <w:szCs w:val="20"/>
        </w:rPr>
        <w:t>JAN ERWIN ANDREW I. ONTANILLAS</w:t>
      </w:r>
    </w:p>
    <w:sectPr w:rsidR="004B7668" w:rsidRPr="00FE2B99" w:rsidSect="002304E7">
      <w:headerReference w:type="default" r:id="rId8"/>
      <w:footerReference w:type="default" r:id="rId9"/>
      <w:pgSz w:w="16839" w:h="11907" w:orient="landscape" w:code="9"/>
      <w:pgMar w:top="1134" w:right="737" w:bottom="720" w:left="737" w:header="284" w:footer="28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DD" w:rsidRDefault="003117DD">
      <w:pPr>
        <w:spacing w:after="0" w:line="240" w:lineRule="auto"/>
      </w:pPr>
      <w:r>
        <w:separator/>
      </w:r>
    </w:p>
  </w:endnote>
  <w:endnote w:type="continuationSeparator" w:id="0">
    <w:p w:rsidR="003117DD" w:rsidRDefault="0031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BB" w:rsidRDefault="00D400BB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D400BB" w:rsidRDefault="00D400BB" w:rsidP="00196E7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27999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27999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196E7E">
      <w:rPr>
        <w:rFonts w:ascii="Arial" w:eastAsia="Arial" w:hAnsi="Arial" w:cs="Arial"/>
        <w:sz w:val="16"/>
        <w:szCs w:val="16"/>
      </w:rPr>
      <w:t>DSWD DROM</w:t>
    </w:r>
    <w:r>
      <w:rPr>
        <w:rFonts w:ascii="Arial" w:eastAsia="Arial" w:hAnsi="Arial" w:cs="Arial"/>
        <w:sz w:val="16"/>
        <w:szCs w:val="16"/>
      </w:rPr>
      <w:t xml:space="preserve">IC Terminal Report on the Effects of </w:t>
    </w:r>
    <w:r w:rsidRPr="00196E7E">
      <w:rPr>
        <w:rFonts w:ascii="Arial" w:eastAsia="Arial" w:hAnsi="Arial" w:cs="Arial"/>
        <w:sz w:val="16"/>
        <w:szCs w:val="16"/>
      </w:rPr>
      <w:t>Southwest M</w:t>
    </w:r>
    <w:r>
      <w:rPr>
        <w:rFonts w:ascii="Arial" w:eastAsia="Arial" w:hAnsi="Arial" w:cs="Arial"/>
        <w:sz w:val="16"/>
        <w:szCs w:val="16"/>
      </w:rPr>
      <w:t xml:space="preserve">onsoon Enhanced by TD “MARILYN”, </w:t>
    </w:r>
    <w:r w:rsidRPr="00196E7E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>8 Decem</w:t>
    </w:r>
    <w:r w:rsidRPr="00196E7E">
      <w:rPr>
        <w:rFonts w:ascii="Arial" w:eastAsia="Arial" w:hAnsi="Arial" w:cs="Arial"/>
        <w:sz w:val="16"/>
        <w:szCs w:val="16"/>
      </w:rPr>
      <w:t>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DD" w:rsidRDefault="003117DD">
      <w:pPr>
        <w:spacing w:after="0" w:line="240" w:lineRule="auto"/>
      </w:pPr>
      <w:r>
        <w:separator/>
      </w:r>
    </w:p>
  </w:footnote>
  <w:footnote w:type="continuationSeparator" w:id="0">
    <w:p w:rsidR="003117DD" w:rsidRDefault="0031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BB" w:rsidRDefault="00D400BB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0BB" w:rsidRDefault="00D400BB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400BB" w:rsidRDefault="00D400BB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400BB" w:rsidRDefault="00D400BB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8A1A17"/>
    <w:multiLevelType w:val="hybridMultilevel"/>
    <w:tmpl w:val="1AEC19F2"/>
    <w:lvl w:ilvl="0" w:tplc="20D011A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2"/>
  </w:num>
  <w:num w:numId="5">
    <w:abstractNumId w:val="34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7"/>
  </w:num>
  <w:num w:numId="11">
    <w:abstractNumId w:val="17"/>
  </w:num>
  <w:num w:numId="12">
    <w:abstractNumId w:val="27"/>
  </w:num>
  <w:num w:numId="13">
    <w:abstractNumId w:val="16"/>
  </w:num>
  <w:num w:numId="14">
    <w:abstractNumId w:val="30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1"/>
  </w:num>
  <w:num w:numId="23">
    <w:abstractNumId w:val="29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5"/>
  </w:num>
  <w:num w:numId="33">
    <w:abstractNumId w:val="28"/>
  </w:num>
  <w:num w:numId="34">
    <w:abstractNumId w:val="20"/>
  </w:num>
  <w:num w:numId="35">
    <w:abstractNumId w:val="36"/>
  </w:num>
  <w:num w:numId="36">
    <w:abstractNumId w:val="38"/>
  </w:num>
  <w:num w:numId="37">
    <w:abstractNumId w:val="33"/>
  </w:num>
  <w:num w:numId="38">
    <w:abstractNumId w:val="11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177A"/>
    <w:rsid w:val="000324F4"/>
    <w:rsid w:val="000359C0"/>
    <w:rsid w:val="000362A4"/>
    <w:rsid w:val="000408C0"/>
    <w:rsid w:val="000436FB"/>
    <w:rsid w:val="00044A86"/>
    <w:rsid w:val="00054288"/>
    <w:rsid w:val="000718B4"/>
    <w:rsid w:val="000757CD"/>
    <w:rsid w:val="000762A0"/>
    <w:rsid w:val="0008009D"/>
    <w:rsid w:val="000812AC"/>
    <w:rsid w:val="00081BF3"/>
    <w:rsid w:val="00081DAB"/>
    <w:rsid w:val="00085176"/>
    <w:rsid w:val="00085608"/>
    <w:rsid w:val="000920E6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E6D67"/>
    <w:rsid w:val="000F10AC"/>
    <w:rsid w:val="000F1F6C"/>
    <w:rsid w:val="000F3578"/>
    <w:rsid w:val="000F452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44C42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8E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6E7E"/>
    <w:rsid w:val="00197C40"/>
    <w:rsid w:val="001A04A3"/>
    <w:rsid w:val="001A24E5"/>
    <w:rsid w:val="001A5783"/>
    <w:rsid w:val="001B707B"/>
    <w:rsid w:val="001C1FD4"/>
    <w:rsid w:val="001C3B2D"/>
    <w:rsid w:val="001D01A8"/>
    <w:rsid w:val="001E08FA"/>
    <w:rsid w:val="001E09E8"/>
    <w:rsid w:val="001E1043"/>
    <w:rsid w:val="001E1BBA"/>
    <w:rsid w:val="001E26B4"/>
    <w:rsid w:val="001E62BB"/>
    <w:rsid w:val="001E6F72"/>
    <w:rsid w:val="001F0789"/>
    <w:rsid w:val="0020030B"/>
    <w:rsid w:val="00202201"/>
    <w:rsid w:val="00203164"/>
    <w:rsid w:val="002057CB"/>
    <w:rsid w:val="002063ED"/>
    <w:rsid w:val="002147BF"/>
    <w:rsid w:val="00214C3F"/>
    <w:rsid w:val="00215766"/>
    <w:rsid w:val="00220314"/>
    <w:rsid w:val="002233C1"/>
    <w:rsid w:val="00223D7C"/>
    <w:rsid w:val="00224A0B"/>
    <w:rsid w:val="002259E1"/>
    <w:rsid w:val="002304E7"/>
    <w:rsid w:val="00231BB6"/>
    <w:rsid w:val="002338D6"/>
    <w:rsid w:val="00235815"/>
    <w:rsid w:val="00243922"/>
    <w:rsid w:val="0024676B"/>
    <w:rsid w:val="00250A39"/>
    <w:rsid w:val="00251556"/>
    <w:rsid w:val="00252A46"/>
    <w:rsid w:val="00253F80"/>
    <w:rsid w:val="002541B5"/>
    <w:rsid w:val="002550AB"/>
    <w:rsid w:val="00261033"/>
    <w:rsid w:val="00265D5C"/>
    <w:rsid w:val="00265DF5"/>
    <w:rsid w:val="00266F30"/>
    <w:rsid w:val="0027307D"/>
    <w:rsid w:val="0027329E"/>
    <w:rsid w:val="00274B00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4986"/>
    <w:rsid w:val="002A599A"/>
    <w:rsid w:val="002A731A"/>
    <w:rsid w:val="002B045E"/>
    <w:rsid w:val="002B1718"/>
    <w:rsid w:val="002B2EC9"/>
    <w:rsid w:val="002B58D3"/>
    <w:rsid w:val="002C1E7D"/>
    <w:rsid w:val="002C224F"/>
    <w:rsid w:val="002D0802"/>
    <w:rsid w:val="002D3418"/>
    <w:rsid w:val="002E25AE"/>
    <w:rsid w:val="002F0FA9"/>
    <w:rsid w:val="002F416A"/>
    <w:rsid w:val="002F5178"/>
    <w:rsid w:val="002F713F"/>
    <w:rsid w:val="003052AD"/>
    <w:rsid w:val="00305764"/>
    <w:rsid w:val="003117DD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08D8"/>
    <w:rsid w:val="003A14AC"/>
    <w:rsid w:val="003B1652"/>
    <w:rsid w:val="003B46D8"/>
    <w:rsid w:val="003B524C"/>
    <w:rsid w:val="003B6ADE"/>
    <w:rsid w:val="003C0BF5"/>
    <w:rsid w:val="003C4C82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27999"/>
    <w:rsid w:val="0043209E"/>
    <w:rsid w:val="004334A9"/>
    <w:rsid w:val="004414B0"/>
    <w:rsid w:val="0044371B"/>
    <w:rsid w:val="00446AAF"/>
    <w:rsid w:val="00446D5E"/>
    <w:rsid w:val="00447043"/>
    <w:rsid w:val="00447EB9"/>
    <w:rsid w:val="0045417C"/>
    <w:rsid w:val="00454DDD"/>
    <w:rsid w:val="00454E8A"/>
    <w:rsid w:val="004567C6"/>
    <w:rsid w:val="00456B0E"/>
    <w:rsid w:val="00460385"/>
    <w:rsid w:val="00460779"/>
    <w:rsid w:val="0046391D"/>
    <w:rsid w:val="00475C3E"/>
    <w:rsid w:val="004801A8"/>
    <w:rsid w:val="004808D9"/>
    <w:rsid w:val="00485FAA"/>
    <w:rsid w:val="004867BA"/>
    <w:rsid w:val="00490703"/>
    <w:rsid w:val="00495369"/>
    <w:rsid w:val="004958B8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1CD3"/>
    <w:rsid w:val="00557D52"/>
    <w:rsid w:val="00560096"/>
    <w:rsid w:val="005613EE"/>
    <w:rsid w:val="00563741"/>
    <w:rsid w:val="0056425D"/>
    <w:rsid w:val="00566746"/>
    <w:rsid w:val="005670D1"/>
    <w:rsid w:val="005675AA"/>
    <w:rsid w:val="00567F0F"/>
    <w:rsid w:val="0057684A"/>
    <w:rsid w:val="00580432"/>
    <w:rsid w:val="0058388D"/>
    <w:rsid w:val="00583D8D"/>
    <w:rsid w:val="0059459E"/>
    <w:rsid w:val="00594DB7"/>
    <w:rsid w:val="005A4EFD"/>
    <w:rsid w:val="005B386A"/>
    <w:rsid w:val="005B3E12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776BE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46F0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45A6"/>
    <w:rsid w:val="006E6AC7"/>
    <w:rsid w:val="00701F97"/>
    <w:rsid w:val="007029A9"/>
    <w:rsid w:val="00703E20"/>
    <w:rsid w:val="007150A8"/>
    <w:rsid w:val="00717026"/>
    <w:rsid w:val="00724F05"/>
    <w:rsid w:val="00725D9A"/>
    <w:rsid w:val="0072662D"/>
    <w:rsid w:val="0072780E"/>
    <w:rsid w:val="0073497C"/>
    <w:rsid w:val="007412EE"/>
    <w:rsid w:val="00742851"/>
    <w:rsid w:val="0074516B"/>
    <w:rsid w:val="00752F0C"/>
    <w:rsid w:val="007567CA"/>
    <w:rsid w:val="007650E4"/>
    <w:rsid w:val="00765540"/>
    <w:rsid w:val="00765610"/>
    <w:rsid w:val="00771726"/>
    <w:rsid w:val="00772106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10CA"/>
    <w:rsid w:val="007D613E"/>
    <w:rsid w:val="007D707B"/>
    <w:rsid w:val="007D7DBE"/>
    <w:rsid w:val="007E1ED0"/>
    <w:rsid w:val="007F2FAD"/>
    <w:rsid w:val="00802BDE"/>
    <w:rsid w:val="00803E68"/>
    <w:rsid w:val="0080446A"/>
    <w:rsid w:val="008055EC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65316"/>
    <w:rsid w:val="00870757"/>
    <w:rsid w:val="008748D8"/>
    <w:rsid w:val="00876F3E"/>
    <w:rsid w:val="008774FE"/>
    <w:rsid w:val="0087788A"/>
    <w:rsid w:val="00882783"/>
    <w:rsid w:val="00885E31"/>
    <w:rsid w:val="0089447F"/>
    <w:rsid w:val="0089720A"/>
    <w:rsid w:val="008C4874"/>
    <w:rsid w:val="008C5231"/>
    <w:rsid w:val="008C5268"/>
    <w:rsid w:val="008C5C42"/>
    <w:rsid w:val="008D6880"/>
    <w:rsid w:val="008E0C8F"/>
    <w:rsid w:val="008E4DF8"/>
    <w:rsid w:val="008E7E32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220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1B2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2F4"/>
    <w:rsid w:val="00A06659"/>
    <w:rsid w:val="00A06F38"/>
    <w:rsid w:val="00A10651"/>
    <w:rsid w:val="00A1132A"/>
    <w:rsid w:val="00A14AF1"/>
    <w:rsid w:val="00A177FC"/>
    <w:rsid w:val="00A254E0"/>
    <w:rsid w:val="00A25DA6"/>
    <w:rsid w:val="00A26DFC"/>
    <w:rsid w:val="00A278DF"/>
    <w:rsid w:val="00A329E3"/>
    <w:rsid w:val="00A35FC5"/>
    <w:rsid w:val="00A360D4"/>
    <w:rsid w:val="00A3643A"/>
    <w:rsid w:val="00A440A6"/>
    <w:rsid w:val="00A52771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1CA3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361C5"/>
    <w:rsid w:val="00B505E4"/>
    <w:rsid w:val="00B571E4"/>
    <w:rsid w:val="00B62D76"/>
    <w:rsid w:val="00B6304C"/>
    <w:rsid w:val="00B64BF4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01C0"/>
    <w:rsid w:val="00C266E8"/>
    <w:rsid w:val="00C30653"/>
    <w:rsid w:val="00C33267"/>
    <w:rsid w:val="00C33BEB"/>
    <w:rsid w:val="00C36108"/>
    <w:rsid w:val="00C375E0"/>
    <w:rsid w:val="00C421A3"/>
    <w:rsid w:val="00C43BDA"/>
    <w:rsid w:val="00C455D0"/>
    <w:rsid w:val="00C47CBF"/>
    <w:rsid w:val="00C53D82"/>
    <w:rsid w:val="00C60386"/>
    <w:rsid w:val="00C6153C"/>
    <w:rsid w:val="00C62B62"/>
    <w:rsid w:val="00C63453"/>
    <w:rsid w:val="00C6532B"/>
    <w:rsid w:val="00C67BB2"/>
    <w:rsid w:val="00C7001D"/>
    <w:rsid w:val="00C707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1C3D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00BB"/>
    <w:rsid w:val="00D43941"/>
    <w:rsid w:val="00D459E1"/>
    <w:rsid w:val="00D46740"/>
    <w:rsid w:val="00D50291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0446"/>
    <w:rsid w:val="00D91E9B"/>
    <w:rsid w:val="00D92F1C"/>
    <w:rsid w:val="00D93477"/>
    <w:rsid w:val="00D93FEC"/>
    <w:rsid w:val="00DA0433"/>
    <w:rsid w:val="00DA1FDD"/>
    <w:rsid w:val="00DA32CB"/>
    <w:rsid w:val="00DA4074"/>
    <w:rsid w:val="00DB255D"/>
    <w:rsid w:val="00DC0B44"/>
    <w:rsid w:val="00DC45D6"/>
    <w:rsid w:val="00DC7570"/>
    <w:rsid w:val="00DD053F"/>
    <w:rsid w:val="00DD60C5"/>
    <w:rsid w:val="00DE1846"/>
    <w:rsid w:val="00DE2C1A"/>
    <w:rsid w:val="00DE3688"/>
    <w:rsid w:val="00DE49E3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23DD"/>
    <w:rsid w:val="00EA6B39"/>
    <w:rsid w:val="00EB3223"/>
    <w:rsid w:val="00EB32AD"/>
    <w:rsid w:val="00EB48F7"/>
    <w:rsid w:val="00EB69B8"/>
    <w:rsid w:val="00EB6DE0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395B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2B99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6BC6-0F22-44AB-9EA4-7B56F91B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3</cp:revision>
  <dcterms:created xsi:type="dcterms:W3CDTF">2020-02-07T03:19:00Z</dcterms:created>
  <dcterms:modified xsi:type="dcterms:W3CDTF">2020-02-07T07:10:00Z</dcterms:modified>
</cp:coreProperties>
</file>