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43287645" w:rsidR="007644DF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046C16">
        <w:rPr>
          <w:rFonts w:ascii="Arial" w:eastAsia="Arial" w:hAnsi="Arial" w:cs="Arial"/>
          <w:b/>
          <w:sz w:val="32"/>
          <w:szCs w:val="24"/>
        </w:rPr>
        <w:t>5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Tulunan</w:t>
      </w:r>
      <w:proofErr w:type="spellEnd"/>
      <w:r w:rsidR="007644DF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7644DF">
        <w:rPr>
          <w:rFonts w:ascii="Arial" w:eastAsia="Arial" w:hAnsi="Arial" w:cs="Arial"/>
          <w:b/>
          <w:sz w:val="32"/>
          <w:szCs w:val="24"/>
        </w:rPr>
        <w:t>Cotabato</w:t>
      </w:r>
      <w:proofErr w:type="spellEnd"/>
    </w:p>
    <w:p w14:paraId="24E47358" w14:textId="4DA8AF73" w:rsidR="00C46A8D" w:rsidRPr="000F55EC" w:rsidRDefault="00F779E2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20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9A3148">
        <w:rPr>
          <w:rFonts w:ascii="Arial" w:eastAsia="Arial" w:hAnsi="Arial" w:cs="Arial"/>
          <w:sz w:val="24"/>
          <w:szCs w:val="24"/>
        </w:rPr>
        <w:t>12NN</w:t>
      </w:r>
    </w:p>
    <w:p w14:paraId="62895F23" w14:textId="77777777" w:rsidR="003051AC" w:rsidRPr="000F55EC" w:rsidRDefault="003051AC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0DBEB43A" w:rsidR="00C46A8D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44DF">
        <w:rPr>
          <w:rFonts w:ascii="Arial" w:hAnsi="Arial" w:cs="Arial"/>
          <w:sz w:val="24"/>
          <w:szCs w:val="24"/>
        </w:rPr>
        <w:t>Tulunan</w:t>
      </w:r>
      <w:proofErr w:type="spellEnd"/>
      <w:r w:rsidR="007644DF">
        <w:rPr>
          <w:rFonts w:ascii="Arial" w:hAnsi="Arial" w:cs="Arial"/>
          <w:sz w:val="24"/>
          <w:szCs w:val="24"/>
        </w:rPr>
        <w:t xml:space="preserve">, 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>06.75°N, 125.00°E - 022 km S 59° 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 xml:space="preserve">North </w:t>
      </w:r>
      <w:proofErr w:type="spellStart"/>
      <w:r w:rsidR="007644DF">
        <w:rPr>
          <w:rFonts w:ascii="Arial" w:hAnsi="Arial" w:cs="Arial"/>
          <w:sz w:val="24"/>
          <w:szCs w:val="24"/>
        </w:rPr>
        <w:t>Cotabato</w:t>
      </w:r>
      <w:proofErr w:type="spellEnd"/>
      <w:r w:rsidR="007644DF">
        <w:rPr>
          <w:rFonts w:ascii="Arial" w:hAnsi="Arial" w:cs="Arial"/>
          <w:sz w:val="24"/>
          <w:szCs w:val="24"/>
        </w:rPr>
        <w:t>.</w:t>
      </w:r>
    </w:p>
    <w:p w14:paraId="4187EDC0" w14:textId="49BC9872" w:rsidR="00E440D3" w:rsidRPr="000F55EC" w:rsidRDefault="00E440D3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Tulunan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M'Lang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0865B19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Digos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Davao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. Nino,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Tacurong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05A3E47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Malungon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Lake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Sebu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Tampakan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South</w:t>
            </w:r>
          </w:p>
          <w:p w14:paraId="6113F6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Koronadal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Roxas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Pikit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North </w:t>
            </w:r>
            <w:proofErr w:type="spellStart"/>
            <w:proofErr w:type="gram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Cotabato;General</w:t>
            </w:r>
            <w:proofErr w:type="spellEnd"/>
            <w:proofErr w:type="gram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Santos City; Davao City;</w:t>
            </w:r>
          </w:p>
          <w:p w14:paraId="55E5262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Lebak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Palimbang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</w:p>
          <w:p w14:paraId="52F59E3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Esperanza &amp; Rosario,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Kalilangan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, Quezon,</w:t>
            </w:r>
          </w:p>
          <w:p w14:paraId="33C30A4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Damulog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Bukidnon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Mawab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Compostela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Valley;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Matanog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Barira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&amp;</w:t>
            </w:r>
          </w:p>
          <w:p w14:paraId="5C6E3A61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Sultan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Kudarat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Maguindanao</w:t>
            </w:r>
            <w:proofErr w:type="spellEnd"/>
          </w:p>
          <w:p w14:paraId="0BC28D5C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Santa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Josefa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Agusan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Iligan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41B5A809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Butuan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Zamboanga City</w:t>
            </w:r>
          </w:p>
          <w:p w14:paraId="65FEE6A1" w14:textId="77777777" w:rsidR="00D72083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Hinatuan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Surigao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del Sur</w:t>
            </w:r>
          </w:p>
          <w:p w14:paraId="4DFD37BF" w14:textId="77777777" w:rsid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VII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Kidapawan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  <w:p w14:paraId="797580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Tupi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and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Polomolok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Alabel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</w:p>
          <w:p w14:paraId="2BD06F9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IV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Kiamba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Sarangani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T'Boli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, South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; General Santos City</w:t>
            </w:r>
          </w:p>
          <w:p w14:paraId="7654F440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III - Cagayan de Oro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Gingoog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Oriental;</w:t>
            </w:r>
          </w:p>
          <w:p w14:paraId="342B2EA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II - Cagayan de Oro,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Misamis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Oriental</w:t>
            </w:r>
          </w:p>
          <w:p w14:paraId="2873A704" w14:textId="77A918ED" w:rsidR="007644DF" w:rsidRPr="000F55EC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Intensity I -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Dipolog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City; </w:t>
            </w:r>
            <w:proofErr w:type="spellStart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Bislig</w:t>
            </w:r>
            <w:proofErr w:type="spellEnd"/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1997EBF" w14:textId="6CE2189D" w:rsidR="00BB458F" w:rsidRDefault="00C46A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2312FF69" w:rsidR="00011C8D" w:rsidRDefault="00011C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ADD201C" w14:textId="7525BF78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42F5CFF" w14:textId="77E3D1D3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F58F00" w14:textId="6D4A257E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8D566C" w14:textId="1C27B292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FA488E" w14:textId="146DBCC0" w:rsidR="00E40FDB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0EED0C4" w14:textId="77777777" w:rsidR="00E40FDB" w:rsidRPr="00011C8D" w:rsidRDefault="00E40FDB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lastRenderedPageBreak/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4D44BA8B" w:rsidR="00F779E2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4,151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046C16" w:rsidRP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20,755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046C16">
        <w:rPr>
          <w:rFonts w:ascii="Arial" w:eastAsia="Times New Roman" w:hAnsi="Arial" w:cs="Arial"/>
          <w:b/>
          <w:bCs/>
          <w:color w:val="0070C0"/>
          <w:sz w:val="24"/>
          <w:szCs w:val="24"/>
        </w:rPr>
        <w:t>79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Regions XI </w:t>
      </w:r>
      <w:r w:rsidR="00FE18F5" w:rsidRPr="000A2FD7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A03ED5">
        <w:rPr>
          <w:rFonts w:ascii="Arial" w:eastAsia="Times New Roman" w:hAnsi="Arial" w:cs="Arial"/>
          <w:b/>
          <w:bCs/>
          <w:color w:val="0070C0"/>
          <w:sz w:val="24"/>
          <w:szCs w:val="24"/>
        </w:rPr>
        <w:t>XII</w:t>
      </w:r>
      <w:r w:rsidR="002F35DE" w:rsidRPr="00A03ED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0A2FD7">
        <w:rPr>
          <w:rFonts w:ascii="Arial" w:eastAsia="Times New Roman" w:hAnsi="Arial" w:cs="Arial"/>
          <w:sz w:val="24"/>
          <w:szCs w:val="24"/>
        </w:rPr>
        <w:t>(</w:t>
      </w:r>
      <w:r w:rsidR="00F779E2" w:rsidRPr="00482A26">
        <w:rPr>
          <w:rFonts w:ascii="Arial" w:eastAsia="Times New Roman" w:hAnsi="Arial" w:cs="Arial"/>
          <w:sz w:val="24"/>
          <w:szCs w:val="24"/>
        </w:rPr>
        <w:t>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61" w:type="pct"/>
        <w:tblInd w:w="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669"/>
        <w:gridCol w:w="1721"/>
        <w:gridCol w:w="1403"/>
        <w:gridCol w:w="1403"/>
      </w:tblGrid>
      <w:tr w:rsidR="00046C16" w:rsidRPr="00046C16" w14:paraId="0AB5AAA0" w14:textId="77777777" w:rsidTr="00046C16">
        <w:trPr>
          <w:trHeight w:val="20"/>
        </w:trPr>
        <w:tc>
          <w:tcPr>
            <w:tcW w:w="2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75E8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03A9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46C16" w:rsidRPr="00046C16" w14:paraId="579D89AE" w14:textId="77777777" w:rsidTr="00046C16">
        <w:trPr>
          <w:trHeight w:val="20"/>
        </w:trPr>
        <w:tc>
          <w:tcPr>
            <w:tcW w:w="2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01F9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CAAA9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C035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FFCF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6C16" w:rsidRPr="00046C16" w14:paraId="126C37A4" w14:textId="77777777" w:rsidTr="00046C1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7A8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65D38" w14:textId="561154C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79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2EE9B" w14:textId="340D6BE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4,151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8922A" w14:textId="305883D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20,755 </w:t>
            </w:r>
          </w:p>
        </w:tc>
      </w:tr>
      <w:tr w:rsidR="00046C16" w:rsidRPr="00046C16" w14:paraId="77A1B67B" w14:textId="77777777" w:rsidTr="00046C1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F550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D2409" w14:textId="06BCA08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C6635" w14:textId="455A195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847 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9B92C" w14:textId="7A6746E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4,235 </w:t>
            </w:r>
          </w:p>
        </w:tc>
      </w:tr>
      <w:tr w:rsidR="00046C16" w:rsidRPr="00046C16" w14:paraId="69B949FE" w14:textId="77777777" w:rsidTr="00046C1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834C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C2C4" w14:textId="1F0E433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AFF9" w14:textId="6CD476A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847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A3F9" w14:textId="4799850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4,235 </w:t>
            </w:r>
          </w:p>
        </w:tc>
      </w:tr>
      <w:tr w:rsidR="00046C16" w:rsidRPr="00046C16" w14:paraId="3441D8A2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7A8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0698C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E1305" w14:textId="61F0B20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CADFC" w14:textId="7CC5130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B9076" w14:textId="15648C3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630 </w:t>
            </w:r>
          </w:p>
        </w:tc>
      </w:tr>
      <w:tr w:rsidR="00046C16" w:rsidRPr="00046C16" w14:paraId="1D4881C5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0898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9EA19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68EEE" w14:textId="48BF19A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6361A" w14:textId="582AF33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469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63DAB" w14:textId="47720B4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2,345 </w:t>
            </w:r>
          </w:p>
        </w:tc>
      </w:tr>
      <w:tr w:rsidR="00046C16" w:rsidRPr="00046C16" w14:paraId="598D4B67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7225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E07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BD095" w14:textId="452E4DC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AE91" w14:textId="4003756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252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EC160" w14:textId="477B1BE6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1,260 </w:t>
            </w:r>
          </w:p>
        </w:tc>
      </w:tr>
      <w:tr w:rsidR="00046C16" w:rsidRPr="00046C16" w14:paraId="00307C4C" w14:textId="77777777" w:rsidTr="00046C1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28BDB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1771" w14:textId="4A276AE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C1D73" w14:textId="510C354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3,304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27E9F" w14:textId="37E84A8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16,520 </w:t>
            </w:r>
          </w:p>
        </w:tc>
      </w:tr>
      <w:tr w:rsidR="00046C16" w:rsidRPr="00046C16" w14:paraId="4EEDCEBB" w14:textId="77777777" w:rsidTr="00046C16">
        <w:trPr>
          <w:trHeight w:val="20"/>
        </w:trPr>
        <w:tc>
          <w:tcPr>
            <w:tcW w:w="26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1D9D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FE1A" w14:textId="1B2D235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3384" w14:textId="7CB3489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3,304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F2365" w14:textId="4330186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16,520 </w:t>
            </w:r>
          </w:p>
        </w:tc>
      </w:tr>
      <w:tr w:rsidR="00046C16" w:rsidRPr="00046C16" w14:paraId="3FC90E68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0AB49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7D0B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E8AA4" w14:textId="6464E08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99C15" w14:textId="5CE9EE0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500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597B0" w14:textId="43AF1A0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</w:tr>
      <w:tr w:rsidR="00046C16" w:rsidRPr="00046C16" w14:paraId="48D6F28D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92F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49F6A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47A41" w14:textId="5D29515E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2D3CD" w14:textId="0CA9D9E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41E30" w14:textId="6B1A5BE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11,280 </w:t>
            </w:r>
          </w:p>
        </w:tc>
      </w:tr>
      <w:tr w:rsidR="00046C16" w:rsidRPr="00046C16" w14:paraId="7BFD153F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3E043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70C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5BD96" w14:textId="092BED3E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E7C0" w14:textId="5254027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59CCC" w14:textId="23F860D6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046C16" w:rsidRPr="00046C16" w14:paraId="3E957827" w14:textId="77777777" w:rsidTr="00046C16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51B9B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DDC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9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803CA" w14:textId="2D11522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62B95" w14:textId="7A8D919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543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2CCBE" w14:textId="13C2AB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2,715 </w:t>
            </w:r>
          </w:p>
        </w:tc>
      </w:tr>
    </w:tbl>
    <w:p w14:paraId="3864DB56" w14:textId="0F5327FB" w:rsidR="000645FA" w:rsidRPr="000F55EC" w:rsidRDefault="001B6DDB" w:rsidP="000F55EC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The increase in th</w:t>
      </w:r>
      <w:r w:rsidR="00D16210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e</w:t>
      </w:r>
      <w:r w:rsidR="00D50208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number of affected families or</w:t>
      </w:r>
      <w:bookmarkStart w:id="3" w:name="_GoBack"/>
      <w:bookmarkEnd w:id="3"/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persons in the municipality of </w:t>
      </w:r>
      <w:proofErr w:type="spellStart"/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Makilala</w:t>
      </w:r>
      <w:proofErr w:type="spellEnd"/>
      <w:r w:rsidR="00690172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is based on the validated report submitted by DSWD-FO XII.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06C6691F" w:rsidR="00C65A8E" w:rsidRDefault="00C65A8E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04BB80BD" w14:textId="77777777" w:rsidR="00E40FDB" w:rsidRPr="000F55EC" w:rsidRDefault="00E40FDB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CD2351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5A942293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CD2351">
        <w:rPr>
          <w:rFonts w:ascii="Arial" w:hAnsi="Arial" w:cs="Arial"/>
          <w:color w:val="000000"/>
          <w:sz w:val="24"/>
          <w:shd w:val="clear" w:color="auto" w:fill="FFFFFF"/>
        </w:rPr>
        <w:t>There are 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269</w:t>
      </w:r>
      <w:r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Pr="009A7D42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0A2FD7">
        <w:rPr>
          <w:rFonts w:ascii="Arial" w:hAnsi="Arial" w:cs="Arial"/>
          <w:sz w:val="24"/>
          <w:shd w:val="clear" w:color="auto" w:fill="FFFFFF"/>
        </w:rPr>
        <w:t>or 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1,407</w:t>
      </w:r>
      <w:r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Pr="009A7D42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7005E8" w:rsidRPr="000A2FD7">
        <w:rPr>
          <w:rFonts w:ascii="Arial" w:hAnsi="Arial" w:cs="Arial"/>
          <w:sz w:val="24"/>
          <w:shd w:val="clear" w:color="auto" w:fill="FFFFFF"/>
        </w:rPr>
        <w:t>who are</w:t>
      </w:r>
      <w:r w:rsidRPr="000A2FD7">
        <w:rPr>
          <w:rFonts w:ascii="Arial" w:hAnsi="Arial" w:cs="Arial"/>
          <w:sz w:val="24"/>
          <w:shd w:val="clear" w:color="auto" w:fill="FFFFFF"/>
        </w:rPr>
        <w:t xml:space="preserve"> taking temporary shelter </w:t>
      </w:r>
      <w:r w:rsidR="00FE18F5" w:rsidRPr="000A2FD7">
        <w:rPr>
          <w:rFonts w:ascii="Arial" w:hAnsi="Arial" w:cs="Arial"/>
          <w:sz w:val="24"/>
          <w:shd w:val="clear" w:color="auto" w:fill="FFFFFF"/>
        </w:rPr>
        <w:t xml:space="preserve">in 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three (3</w:t>
      </w:r>
      <w:r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) evacuation centers</w:t>
      </w:r>
      <w:r w:rsidRPr="000A2FD7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0A2FD7">
        <w:rPr>
          <w:rFonts w:ascii="Arial" w:hAnsi="Arial" w:cs="Arial"/>
          <w:sz w:val="24"/>
          <w:shd w:val="clear" w:color="auto" w:fill="FFFFFF"/>
        </w:rPr>
        <w:t>in </w:t>
      </w:r>
      <w:r w:rsidR="00FE18F5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Regions XI </w:t>
      </w:r>
      <w:r w:rsidR="00FE18F5" w:rsidRPr="000A2FD7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 w:rsidRPr="000A2FD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FE18F5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XII</w:t>
      </w:r>
      <w:r w:rsidRPr="000A2FD7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CD2351">
        <w:rPr>
          <w:rFonts w:ascii="Arial" w:hAnsi="Arial" w:cs="Arial"/>
          <w:color w:val="000000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5E16353D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/ Persons Inside Evacuation 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3393"/>
        <w:gridCol w:w="906"/>
        <w:gridCol w:w="1026"/>
        <w:gridCol w:w="868"/>
        <w:gridCol w:w="868"/>
        <w:gridCol w:w="868"/>
        <w:gridCol w:w="857"/>
      </w:tblGrid>
      <w:tr w:rsidR="00046C16" w:rsidRPr="00046C16" w14:paraId="06A89DD6" w14:textId="77777777" w:rsidTr="00046C16">
        <w:trPr>
          <w:trHeight w:val="20"/>
        </w:trPr>
        <w:tc>
          <w:tcPr>
            <w:tcW w:w="1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29A8D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FF45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D23F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46C16" w:rsidRPr="00046C16" w14:paraId="76F99957" w14:textId="77777777" w:rsidTr="00046C16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F52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7C4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B5FC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7475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46C16" w:rsidRPr="00046C16" w14:paraId="5F45DAAB" w14:textId="77777777" w:rsidTr="00046C16">
        <w:trPr>
          <w:trHeight w:val="20"/>
        </w:trPr>
        <w:tc>
          <w:tcPr>
            <w:tcW w:w="198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CA7A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86DB0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4BF5E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E6F7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6D483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38CD8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EF97C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46C16" w:rsidRPr="00046C16" w14:paraId="406E5F26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3240A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A7831" w14:textId="2B2B809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6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19A22" w14:textId="210A40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2FC3F" w14:textId="2157E70E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794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3B3F5" w14:textId="4447C50D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269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AB40" w14:textId="105F49B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4,032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589A6" w14:textId="329B714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1,407 </w:t>
            </w:r>
          </w:p>
        </w:tc>
      </w:tr>
      <w:tr w:rsidR="00046C16" w:rsidRPr="00046C16" w14:paraId="3AB9A719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175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D129D" w14:textId="1CD389A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FD8BD" w14:textId="347D427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AC459" w14:textId="446B297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264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B3D36" w14:textId="5E22A57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239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00E7" w14:textId="72322A3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1,382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79848" w14:textId="098A0FA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1,257 </w:t>
            </w:r>
          </w:p>
        </w:tc>
      </w:tr>
      <w:tr w:rsidR="00046C16" w:rsidRPr="00046C16" w14:paraId="11AF3754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329C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E8448" w14:textId="21287CD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9080" w14:textId="364D6E6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703D" w14:textId="539197B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264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CA06" w14:textId="13775FE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239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61760" w14:textId="65A7729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1,382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BBDDA" w14:textId="63E3075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1,257 </w:t>
            </w:r>
          </w:p>
        </w:tc>
      </w:tr>
      <w:tr w:rsidR="00046C16" w:rsidRPr="00046C16" w14:paraId="2D3600EB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50E9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EA16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202EC" w14:textId="25E6A59D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6D4CD" w14:textId="6A455C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E97BE" w14:textId="175396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FF5BD" w14:textId="37804EA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  3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349D3" w14:textId="2787265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E85D" w14:textId="5CB4105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046C16" w:rsidRPr="00046C16" w14:paraId="70117E94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DF5A4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545E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6B683" w14:textId="7ABD252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4771E" w14:textId="0E79A12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A5DDC" w14:textId="6B29313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FC851" w14:textId="2651B3BE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236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4ADF5" w14:textId="276952A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2645F" w14:textId="0E95516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1,180 </w:t>
            </w:r>
          </w:p>
        </w:tc>
      </w:tr>
      <w:tr w:rsidR="00046C16" w:rsidRPr="00046C16" w14:paraId="75953259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ED7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F2E05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5361A" w14:textId="19F9917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97DCF" w14:textId="4229500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1323" w14:textId="791D93D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7149D" w14:textId="2A1C8D0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E77EB" w14:textId="245BA8A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125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44A5" w14:textId="238F528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- </w:t>
            </w:r>
          </w:p>
        </w:tc>
      </w:tr>
      <w:tr w:rsidR="00046C16" w:rsidRPr="00046C16" w14:paraId="12A331F0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97A50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6442D" w14:textId="34A17794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24898" w14:textId="05E750F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7A551" w14:textId="1618F1A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DF3CE" w14:textId="35C83A19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2ECF" w14:textId="5D69A5C0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2,650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3702D" w14:textId="39089A55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150 </w:t>
            </w:r>
          </w:p>
        </w:tc>
      </w:tr>
      <w:tr w:rsidR="00046C16" w:rsidRPr="00046C16" w14:paraId="7ED37A8B" w14:textId="77777777" w:rsidTr="00046C16">
        <w:trPr>
          <w:trHeight w:val="20"/>
        </w:trPr>
        <w:tc>
          <w:tcPr>
            <w:tcW w:w="19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F7186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2D108" w14:textId="43B8543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2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A1851" w14:textId="5608AEA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3B14A" w14:textId="26206B13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56A3B" w14:textId="7318CD1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92723" w14:textId="19816C36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2,650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F2B0D" w14:textId="1521209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150 </w:t>
            </w:r>
          </w:p>
        </w:tc>
      </w:tr>
      <w:tr w:rsidR="00046C16" w:rsidRPr="00046C16" w14:paraId="65916B88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12B32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2EB04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Kidapawan</w:t>
            </w:r>
            <w:proofErr w:type="spellEnd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C7BA" w14:textId="076C798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10B28" w14:textId="4046026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5B62D" w14:textId="58D76E1B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500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AC279" w14:textId="5085ADC7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38BE6" w14:textId="33689D09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ADEC8" w14:textId="454B21B1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- </w:t>
            </w:r>
          </w:p>
        </w:tc>
      </w:tr>
      <w:tr w:rsidR="00046C16" w:rsidRPr="00046C16" w14:paraId="20A7FCBC" w14:textId="77777777" w:rsidTr="00046C16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7282F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D5C81" w14:textId="77777777" w:rsidR="00046C16" w:rsidRPr="00046C16" w:rsidRDefault="00046C16" w:rsidP="00046C1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29B02" w14:textId="4DE60C2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13C8B" w14:textId="3AADE572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C8FC4" w14:textId="374F00AC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438ED" w14:textId="730B0BC8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8DD7F" w14:textId="09CFDB8A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150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64594" w14:textId="0625F58F" w:rsidR="00046C16" w:rsidRPr="00046C16" w:rsidRDefault="00046C16" w:rsidP="00046C1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46C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150 </w:t>
            </w:r>
          </w:p>
        </w:tc>
      </w:tr>
    </w:tbl>
    <w:p w14:paraId="694DE9F5" w14:textId="0042C2A5" w:rsidR="00CD2351" w:rsidRPr="000F55EC" w:rsidRDefault="00CD2351" w:rsidP="00DF1166">
      <w:pPr>
        <w:widowControl/>
        <w:shd w:val="clear" w:color="auto" w:fill="FFFFFF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*The reported affected families or persons in City of </w:t>
      </w:r>
      <w:proofErr w:type="spellStart"/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>Kidapawan</w:t>
      </w:r>
      <w:proofErr w:type="spellEnd"/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have already returned to their area of residence. Thus, 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019772D4" w:rsidR="006A2821" w:rsidRDefault="006A282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A1CDAED" w14:textId="47F1D7E4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3F42045" w14:textId="73F0D9C2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9DEED25" w14:textId="7598FDDD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94FFC1A" w14:textId="2737DE8A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5610969" w14:textId="09A322A3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27481A8" w14:textId="488469BB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AD8F7BD" w14:textId="10B36C18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E4689FE" w14:textId="30C6BDC9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536B8A7B" w14:textId="001B0A1F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285FFD49" w14:textId="4505AEE0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612917C" w14:textId="734EF0AE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36744596" w14:textId="539B4ACE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791B235" w14:textId="49D12728" w:rsidR="00E40FDB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7D7F787" w14:textId="77777777" w:rsidR="00E40FDB" w:rsidRPr="006A2821" w:rsidRDefault="00E40FDB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0F55EC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Outside Evacuation Centers</w:t>
      </w:r>
    </w:p>
    <w:p w14:paraId="7CE0A852" w14:textId="53057E5F" w:rsidR="006A2821" w:rsidRPr="00FE18F5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FE18F5">
        <w:rPr>
          <w:rFonts w:ascii="Arial" w:hAnsi="Arial" w:cs="Arial"/>
          <w:sz w:val="24"/>
          <w:shd w:val="clear" w:color="auto" w:fill="FFFFFF"/>
        </w:rPr>
        <w:t>There are</w:t>
      </w:r>
      <w:r w:rsidRPr="00FE18F5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608</w:t>
      </w:r>
      <w:r w:rsidR="0033602D"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Pr="0033602D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FE18F5">
        <w:rPr>
          <w:rFonts w:ascii="Arial" w:hAnsi="Arial" w:cs="Arial"/>
          <w:sz w:val="24"/>
          <w:shd w:val="clear" w:color="auto" w:fill="FFFFFF"/>
        </w:rPr>
        <w:t>or 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2,978 </w:t>
      </w:r>
      <w:r w:rsidRPr="0033602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Pr="0033602D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FE18F5">
        <w:rPr>
          <w:rFonts w:ascii="Arial" w:hAnsi="Arial" w:cs="Arial"/>
          <w:sz w:val="24"/>
          <w:shd w:val="clear" w:color="auto" w:fill="FFFFFF"/>
        </w:rPr>
        <w:t>who are currently staying with their relatives and/or friends (see Table 3).</w:t>
      </w:r>
    </w:p>
    <w:p w14:paraId="63266A8B" w14:textId="77777777" w:rsidR="006A2821" w:rsidRPr="006A2821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2D83C57F" w:rsidR="0048062F" w:rsidRPr="000F55EC" w:rsidRDefault="0048062F" w:rsidP="006A2821">
      <w:pPr>
        <w:widowControl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4630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255"/>
        <w:gridCol w:w="1048"/>
        <w:gridCol w:w="1050"/>
        <w:gridCol w:w="1216"/>
        <w:gridCol w:w="1216"/>
      </w:tblGrid>
      <w:tr w:rsidR="009A7D42" w:rsidRPr="009A7D42" w14:paraId="22E43DF8" w14:textId="77777777" w:rsidTr="009A7D42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AE7FA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2236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A7D42" w:rsidRPr="009A7D42" w14:paraId="4B09EB29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9EC6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F9B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15E4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A7D42" w:rsidRPr="009A7D42" w14:paraId="0E6AA6CC" w14:textId="77777777" w:rsidTr="009A7D42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F4DEC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D4241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AA8D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2D57D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F65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A7D42" w:rsidRPr="009A7D42" w14:paraId="5D7899E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C887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C5E67" w14:textId="10D50A3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642C" w14:textId="57F5BAD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608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59BC9" w14:textId="090EBD2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669DF" w14:textId="157B473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2,978 </w:t>
            </w:r>
          </w:p>
        </w:tc>
      </w:tr>
      <w:tr w:rsidR="009A7D42" w:rsidRPr="009A7D42" w14:paraId="7CAF8BB5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42EF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ABEF3" w14:textId="35684F8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C6EFA" w14:textId="7DC0484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A7305" w14:textId="54A2DD1C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B4695" w14:textId="07094FE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64E10984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F86D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45865" w14:textId="0B4BAE8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EB63" w14:textId="717462A9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626DC" w14:textId="18F9EEE0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D7CFE" w14:textId="474DB60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2,853 </w:t>
            </w:r>
          </w:p>
        </w:tc>
      </w:tr>
      <w:tr w:rsidR="009A7D42" w:rsidRPr="009A7D42" w14:paraId="30B343DF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706B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545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4D6B0" w14:textId="0B4E172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CCBF2" w14:textId="4DDABB09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8CA9F" w14:textId="2D01B90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20915" w14:textId="504D5DA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553 </w:t>
            </w:r>
          </w:p>
        </w:tc>
      </w:tr>
      <w:tr w:rsidR="009A7D42" w:rsidRPr="009A7D42" w14:paraId="46486BDD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F824C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697F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0D052" w14:textId="430E8C3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4C1B7" w14:textId="2025C47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233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60D9" w14:textId="63EEE2B1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36BA" w14:textId="5E7B9BD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1,165 </w:t>
            </w:r>
          </w:p>
        </w:tc>
      </w:tr>
      <w:tr w:rsidR="009A7D42" w:rsidRPr="009A7D42" w14:paraId="02102808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EE582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79F77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8002" w14:textId="47170E8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49628" w14:textId="5A9629F0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227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56AB" w14:textId="4DD3B98C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CBAB" w14:textId="4E821623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1,135 </w:t>
            </w:r>
          </w:p>
        </w:tc>
      </w:tr>
      <w:tr w:rsidR="009A7D42" w:rsidRPr="009A7D42" w14:paraId="79B1039C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C644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68BC" w14:textId="384CFB45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D196" w14:textId="2E93C5F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22070" w14:textId="7F2D144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34453" w14:textId="2D7E8B91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4F255901" w14:textId="77777777" w:rsidTr="009A7D42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46140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3852D" w14:textId="7280022D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900A4" w14:textId="4155FAD2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A5FA2" w14:textId="59EF3D3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38B56" w14:textId="5C5D3F8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125 </w:t>
            </w:r>
          </w:p>
        </w:tc>
      </w:tr>
      <w:tr w:rsidR="009A7D42" w:rsidRPr="009A7D42" w14:paraId="5F8A5CBE" w14:textId="77777777" w:rsidTr="009A7D42">
        <w:trPr>
          <w:trHeight w:val="20"/>
        </w:trPr>
        <w:tc>
          <w:tcPr>
            <w:tcW w:w="10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45161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2E42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E46" w14:textId="3A7A669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B8B6D" w14:textId="0BCB55C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0A226" w14:textId="4426A35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6593" w14:textId="055C8D5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125 </w:t>
            </w:r>
          </w:p>
        </w:tc>
      </w:tr>
    </w:tbl>
    <w:p w14:paraId="2AD042B3" w14:textId="2C7D52C5" w:rsidR="00EC62D1" w:rsidRPr="000F55EC" w:rsidRDefault="0048062F" w:rsidP="006A2821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0989109E" w14:textId="1A1D01B7" w:rsidR="00BB458F" w:rsidRDefault="00620C98" w:rsidP="00011C8D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33602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65D78F3D" w14:textId="77777777" w:rsidR="0033602D" w:rsidRPr="000F55EC" w:rsidRDefault="0033602D" w:rsidP="00011C8D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674F0A2" w14:textId="77777777" w:rsidR="00BB458F" w:rsidRDefault="00BB458F" w:rsidP="00BB458F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913C7AB" w14:textId="514766DB" w:rsidR="00BB458F" w:rsidRPr="00BB458F" w:rsidRDefault="00314465" w:rsidP="00BB458F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1,792 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="0033602D" w:rsidRPr="009A7D42">
        <w:rPr>
          <w:rFonts w:ascii="Arial" w:hAnsi="Arial" w:cs="Arial"/>
          <w:b/>
          <w:bCs/>
          <w:sz w:val="24"/>
          <w:shd w:val="clear" w:color="auto" w:fill="FFFFFF"/>
        </w:rPr>
        <w:t>482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 are </w:t>
      </w:r>
      <w:r w:rsidR="00BB458F" w:rsidRPr="009A7D42">
        <w:rPr>
          <w:rFonts w:ascii="Arial" w:hAnsi="Arial" w:cs="Arial"/>
          <w:b/>
          <w:bCs/>
          <w:sz w:val="24"/>
          <w:shd w:val="clear" w:color="auto" w:fill="FFFFFF"/>
        </w:rPr>
        <w:t>totally damaged </w:t>
      </w:r>
      <w:r w:rsidR="009A7D42"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 w:rsidR="009A7D42" w:rsidRPr="009A7D42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1,310 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BB458F" w:rsidRPr="00BB458F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16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95"/>
        <w:gridCol w:w="962"/>
        <w:gridCol w:w="1647"/>
        <w:gridCol w:w="1844"/>
      </w:tblGrid>
      <w:tr w:rsidR="009A7D42" w:rsidRPr="009A7D42" w14:paraId="1B09E5E8" w14:textId="77777777" w:rsidTr="009A7D42">
        <w:trPr>
          <w:trHeight w:val="20"/>
        </w:trPr>
        <w:tc>
          <w:tcPr>
            <w:tcW w:w="2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6B76B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74835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A7D42" w:rsidRPr="009A7D42" w14:paraId="32699FBE" w14:textId="77777777" w:rsidTr="009A7D42">
        <w:trPr>
          <w:trHeight w:val="20"/>
        </w:trPr>
        <w:tc>
          <w:tcPr>
            <w:tcW w:w="2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A3E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2EA19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BB3CC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D768B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A7D42" w:rsidRPr="009A7D42" w14:paraId="77DE21A6" w14:textId="77777777" w:rsidTr="009A7D42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08A76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ADDA" w14:textId="392756D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1,792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6DFF" w14:textId="306C069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482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69565" w14:textId="6679DAA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1,310 </w:t>
            </w:r>
          </w:p>
        </w:tc>
      </w:tr>
      <w:tr w:rsidR="009A7D42" w:rsidRPr="009A7D42" w14:paraId="1F61DBF8" w14:textId="77777777" w:rsidTr="009A7D42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D4F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FE4B7" w14:textId="6BC72DBC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776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2A48" w14:textId="3B7D265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177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D1EA" w14:textId="4827A73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9A7D42" w:rsidRPr="009A7D42" w14:paraId="21EA84C1" w14:textId="77777777" w:rsidTr="009A7D42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08A65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9FB3E" w14:textId="3446B449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776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835FE" w14:textId="0F04525E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177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1B27" w14:textId="616CE7F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599 </w:t>
            </w:r>
          </w:p>
        </w:tc>
      </w:tr>
      <w:tr w:rsidR="009A7D42" w:rsidRPr="009A7D42" w14:paraId="092F9CF3" w14:textId="77777777" w:rsidTr="009A7D42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3B4EF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0FFFA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8FAC7" w14:textId="2A0C83F7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  126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7FEE" w14:textId="7E3DD9B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ACEB" w14:textId="2B488682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9A7D42" w:rsidRPr="009A7D42" w14:paraId="40EE6E33" w14:textId="77777777" w:rsidTr="009A7D42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C722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82751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8F83D" w14:textId="185CE53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634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81445" w14:textId="2CC1E23C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165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56A2" w14:textId="1CA4D56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469 </w:t>
            </w:r>
          </w:p>
        </w:tc>
      </w:tr>
      <w:tr w:rsidR="009A7D42" w:rsidRPr="009A7D42" w14:paraId="73C67780" w14:textId="77777777" w:rsidTr="009A7D42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68334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323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73707" w14:textId="7A9BC69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16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6F996" w14:textId="3DA8DE10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1B480" w14:textId="09B5D78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15 </w:t>
            </w:r>
          </w:p>
        </w:tc>
      </w:tr>
      <w:tr w:rsidR="009A7D42" w:rsidRPr="009A7D42" w14:paraId="2497268E" w14:textId="77777777" w:rsidTr="009A7D42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36403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079F7" w14:textId="201992AF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DF61" w14:textId="73F5719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86C0" w14:textId="7BAC1A29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711 </w:t>
            </w:r>
          </w:p>
        </w:tc>
      </w:tr>
      <w:tr w:rsidR="009A7D42" w:rsidRPr="009A7D42" w14:paraId="15ED838B" w14:textId="77777777" w:rsidTr="009A7D42">
        <w:trPr>
          <w:trHeight w:val="20"/>
        </w:trPr>
        <w:tc>
          <w:tcPr>
            <w:tcW w:w="26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ECEE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47266" w14:textId="14749DEB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1,016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57DE9" w14:textId="10C80D53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305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C18BB" w14:textId="345D41C5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711 </w:t>
            </w:r>
          </w:p>
        </w:tc>
      </w:tr>
      <w:tr w:rsidR="009A7D42" w:rsidRPr="009A7D42" w14:paraId="2D5310E1" w14:textId="77777777" w:rsidTr="009A7D42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C3B85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36DB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94BB8" w14:textId="78B0EC9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637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BBB9" w14:textId="28A82EB8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153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04E92" w14:textId="24D3B612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484 </w:t>
            </w:r>
          </w:p>
        </w:tc>
      </w:tr>
      <w:tr w:rsidR="009A7D42" w:rsidRPr="009A7D42" w14:paraId="278B7E38" w14:textId="77777777" w:rsidTr="009A7D42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B5968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1EA89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F57FF" w14:textId="3DC57812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F9D64" w14:textId="27700A7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-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D14E" w14:textId="40446234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5 </w:t>
            </w:r>
          </w:p>
        </w:tc>
      </w:tr>
      <w:tr w:rsidR="009A7D42" w:rsidRPr="009A7D42" w14:paraId="19AC0D11" w14:textId="77777777" w:rsidTr="009A7D42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5FEF0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19CD" w14:textId="77777777" w:rsidR="009A7D42" w:rsidRPr="009A7D42" w:rsidRDefault="009A7D42" w:rsidP="009A7D42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4946F" w14:textId="1A783C5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374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1A53" w14:textId="5A1F86C3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152 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BE3D" w14:textId="0FB36A36" w:rsidR="009A7D42" w:rsidRPr="009A7D42" w:rsidRDefault="009A7D42" w:rsidP="009A7D4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A7D4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222 </w:t>
            </w:r>
          </w:p>
        </w:tc>
      </w:tr>
    </w:tbl>
    <w:p w14:paraId="7BE1132A" w14:textId="1AC5A7FB" w:rsidR="00BB458F" w:rsidRPr="000F55EC" w:rsidRDefault="009A7D42" w:rsidP="00BB458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BB458F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04A932EA" w14:textId="249D3CEF" w:rsidR="00BB458F" w:rsidRDefault="00BB458F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06843242" w14:textId="717C0B69" w:rsidR="00FE18F5" w:rsidRDefault="00FE18F5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1B4CD61E" w:rsidR="00EC62D1" w:rsidRPr="000F55EC" w:rsidRDefault="00EC62D1" w:rsidP="00BB458F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E06EACA" w14:textId="50407F29" w:rsidR="00FA429A" w:rsidRPr="000F55EC" w:rsidRDefault="0033602D" w:rsidP="00FA429A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5685C4C" wp14:editId="3E9A42BC">
            <wp:simplePos x="0" y="0"/>
            <wp:positionH relativeFrom="column">
              <wp:posOffset>-367030</wp:posOffset>
            </wp:positionH>
            <wp:positionV relativeFrom="paragraph">
              <wp:posOffset>306070</wp:posOffset>
            </wp:positionV>
            <wp:extent cx="6939915" cy="490791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915" cy="490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0154BC68" w14:textId="1270A77C" w:rsidR="00F37BE9" w:rsidRDefault="00A03ED5" w:rsidP="00A03ED5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  <w:r w:rsidR="00F37BE9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 w:rsidR="00F37BE9"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082D05E8" w14:textId="327C8D31" w:rsidR="00A03ED5" w:rsidRDefault="00A03ED5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415EF3" w14:textId="77777777" w:rsidR="00A03ED5" w:rsidRDefault="00A03ED5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C2C3997" w14:textId="067D18CC" w:rsidR="003051AC" w:rsidRDefault="003051AC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Status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of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Prepositioned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Resources: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Stockpile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and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Standby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Funds</w:t>
      </w:r>
    </w:p>
    <w:p w14:paraId="3056BE41" w14:textId="1E0A8136" w:rsidR="001E433D" w:rsidRDefault="001E433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09AF87" w14:textId="15B5921B" w:rsidR="001E433D" w:rsidRPr="00D4255F" w:rsidRDefault="001E433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</w:t>
      </w:r>
      <w:r w:rsidRPr="00D4255F">
        <w:rPr>
          <w:rFonts w:ascii="Arial" w:eastAsia="Arial" w:hAnsi="Arial" w:cs="Arial"/>
          <w:sz w:val="24"/>
          <w:szCs w:val="24"/>
        </w:rPr>
        <w:t xml:space="preserve">to </w:t>
      </w:r>
      <w:r w:rsidRPr="009A3148">
        <w:rPr>
          <w:rFonts w:ascii="Arial" w:eastAsia="Arial" w:hAnsi="Arial" w:cs="Arial"/>
          <w:b/>
          <w:sz w:val="24"/>
          <w:szCs w:val="24"/>
        </w:rPr>
        <w:t>₱</w:t>
      </w:r>
      <w:r w:rsidR="00DD3700" w:rsidRPr="009A3148">
        <w:rPr>
          <w:rFonts w:ascii="Arial" w:eastAsia="Arial" w:hAnsi="Arial" w:cs="Arial"/>
          <w:b/>
          <w:sz w:val="24"/>
          <w:szCs w:val="24"/>
        </w:rPr>
        <w:t xml:space="preserve">1,962,461,844.39 </w:t>
      </w:r>
      <w:r w:rsidRPr="00D4255F">
        <w:rPr>
          <w:rFonts w:ascii="Arial" w:eastAsia="Arial" w:hAnsi="Arial" w:cs="Arial"/>
          <w:sz w:val="24"/>
          <w:szCs w:val="24"/>
        </w:rPr>
        <w:t>with breakdown as follows</w:t>
      </w:r>
      <w:r w:rsidR="002F35DE" w:rsidRPr="00D4255F">
        <w:rPr>
          <w:rFonts w:ascii="Arial" w:eastAsia="Arial" w:hAnsi="Arial" w:cs="Arial"/>
          <w:sz w:val="24"/>
          <w:szCs w:val="24"/>
        </w:rPr>
        <w:t>:</w:t>
      </w:r>
    </w:p>
    <w:p w14:paraId="619FD1B1" w14:textId="77777777" w:rsidR="001E433D" w:rsidRPr="00D4255F" w:rsidRDefault="001E433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3C52AF" w14:textId="77777777" w:rsidR="001E433D" w:rsidRPr="00D4255F" w:rsidRDefault="001E433D" w:rsidP="001E433D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255F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643CE62E" w14:textId="77777777" w:rsidR="001E433D" w:rsidRPr="00D4255F" w:rsidRDefault="001E433D" w:rsidP="001E433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255F">
        <w:rPr>
          <w:rFonts w:ascii="Arial" w:eastAsia="Arial" w:hAnsi="Arial" w:cs="Arial"/>
          <w:sz w:val="24"/>
          <w:szCs w:val="24"/>
        </w:rPr>
        <w:t xml:space="preserve">A total of </w:t>
      </w:r>
      <w:r w:rsidRPr="00D4255F">
        <w:rPr>
          <w:rFonts w:ascii="Arial" w:eastAsia="Arial" w:hAnsi="Arial" w:cs="Arial"/>
          <w:b/>
          <w:sz w:val="24"/>
          <w:szCs w:val="24"/>
        </w:rPr>
        <w:t xml:space="preserve">₱1,109,437,849.36 </w:t>
      </w:r>
      <w:r w:rsidRPr="00D4255F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D4255F">
        <w:rPr>
          <w:rFonts w:ascii="Arial" w:eastAsia="Arial" w:hAnsi="Arial" w:cs="Arial"/>
          <w:b/>
          <w:sz w:val="24"/>
          <w:szCs w:val="24"/>
        </w:rPr>
        <w:t xml:space="preserve">₱1,076,221,717.34 </w:t>
      </w:r>
      <w:r w:rsidRPr="00D4255F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0F574E0D" w14:textId="77777777" w:rsidR="001E433D" w:rsidRPr="00D4255F" w:rsidRDefault="001E433D" w:rsidP="001E433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5A0C4F" w14:textId="77777777" w:rsidR="001E433D" w:rsidRPr="00D4255F" w:rsidRDefault="001E433D" w:rsidP="001E433D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4255F">
        <w:rPr>
          <w:rFonts w:ascii="Arial" w:eastAsia="Arial" w:hAnsi="Arial" w:cs="Arial"/>
          <w:b/>
          <w:sz w:val="24"/>
          <w:szCs w:val="24"/>
        </w:rPr>
        <w:t>Stockpiles</w:t>
      </w:r>
    </w:p>
    <w:p w14:paraId="6FA00934" w14:textId="31C5F49B" w:rsidR="001E433D" w:rsidRDefault="001E433D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color w:val="0070C0"/>
          <w:sz w:val="24"/>
          <w:szCs w:val="24"/>
        </w:rPr>
      </w:pPr>
      <w:r w:rsidRPr="00D4255F">
        <w:rPr>
          <w:rFonts w:ascii="Arial" w:eastAsia="Arial" w:hAnsi="Arial" w:cs="Arial"/>
          <w:sz w:val="24"/>
          <w:szCs w:val="24"/>
        </w:rPr>
        <w:t xml:space="preserve">A total of </w:t>
      </w:r>
      <w:r w:rsidR="00DD3700" w:rsidRPr="009A3148">
        <w:rPr>
          <w:rFonts w:ascii="Arial" w:eastAsia="Arial" w:hAnsi="Arial" w:cs="Arial"/>
          <w:b/>
          <w:sz w:val="24"/>
          <w:szCs w:val="24"/>
        </w:rPr>
        <w:t xml:space="preserve">326,864 </w:t>
      </w:r>
      <w:r w:rsidRPr="009A3148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9A3148">
        <w:rPr>
          <w:rFonts w:ascii="Arial" w:eastAsia="Arial" w:hAnsi="Arial" w:cs="Arial"/>
          <w:sz w:val="24"/>
          <w:szCs w:val="24"/>
        </w:rPr>
        <w:t xml:space="preserve"> </w:t>
      </w:r>
      <w:r w:rsidRPr="00D4255F">
        <w:rPr>
          <w:rFonts w:ascii="Arial" w:eastAsia="Arial" w:hAnsi="Arial" w:cs="Arial"/>
          <w:sz w:val="24"/>
          <w:szCs w:val="24"/>
        </w:rPr>
        <w:t xml:space="preserve">amounting to </w:t>
      </w:r>
      <w:r w:rsidRPr="009A3148">
        <w:rPr>
          <w:rFonts w:ascii="Arial" w:eastAsia="Arial" w:hAnsi="Arial" w:cs="Arial"/>
          <w:b/>
          <w:sz w:val="24"/>
          <w:szCs w:val="24"/>
        </w:rPr>
        <w:t>₱</w:t>
      </w:r>
      <w:r w:rsidR="00DD3700" w:rsidRPr="009A3148">
        <w:rPr>
          <w:rFonts w:ascii="Arial" w:eastAsia="Arial" w:hAnsi="Arial" w:cs="Arial"/>
          <w:b/>
          <w:sz w:val="24"/>
          <w:szCs w:val="24"/>
        </w:rPr>
        <w:t>125,739,187.01</w:t>
      </w:r>
      <w:r w:rsidR="00DD3700" w:rsidRPr="00DD370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4255F">
        <w:rPr>
          <w:rFonts w:ascii="Arial" w:eastAsia="Arial" w:hAnsi="Arial" w:cs="Arial"/>
          <w:sz w:val="24"/>
          <w:szCs w:val="24"/>
        </w:rPr>
        <w:t xml:space="preserve">and available </w:t>
      </w:r>
      <w:r w:rsidRPr="00DD3700">
        <w:rPr>
          <w:rFonts w:ascii="Arial" w:eastAsia="Arial" w:hAnsi="Arial" w:cs="Arial"/>
          <w:b/>
          <w:sz w:val="24"/>
          <w:szCs w:val="24"/>
        </w:rPr>
        <w:t>Food and Non-food Items (FNIs)</w:t>
      </w:r>
      <w:r w:rsidRPr="00DD3700">
        <w:rPr>
          <w:rFonts w:ascii="Arial" w:eastAsia="Arial" w:hAnsi="Arial" w:cs="Arial"/>
          <w:sz w:val="24"/>
          <w:szCs w:val="24"/>
        </w:rPr>
        <w:t xml:space="preserve"> amounting to </w:t>
      </w:r>
      <w:r w:rsidRPr="00DD3700">
        <w:rPr>
          <w:rFonts w:ascii="Arial" w:eastAsia="Arial" w:hAnsi="Arial" w:cs="Arial"/>
          <w:b/>
          <w:sz w:val="24"/>
          <w:szCs w:val="24"/>
        </w:rPr>
        <w:t>₱</w:t>
      </w:r>
      <w:r w:rsidR="00011C8D" w:rsidRPr="00DD3700">
        <w:rPr>
          <w:rFonts w:ascii="Arial" w:eastAsia="Arial" w:hAnsi="Arial" w:cs="Arial"/>
          <w:b/>
          <w:sz w:val="24"/>
          <w:szCs w:val="24"/>
        </w:rPr>
        <w:t>727,284,808.02</w:t>
      </w:r>
      <w:r w:rsidRPr="00DD3700">
        <w:rPr>
          <w:rFonts w:ascii="Arial" w:eastAsia="Arial" w:hAnsi="Arial" w:cs="Arial"/>
          <w:b/>
          <w:sz w:val="24"/>
          <w:szCs w:val="24"/>
        </w:rPr>
        <w:t>.</w:t>
      </w:r>
    </w:p>
    <w:p w14:paraId="4894B487" w14:textId="4525C3CC" w:rsidR="008A6E5E" w:rsidRDefault="008A6E5E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</w:p>
    <w:p w14:paraId="54D54ABD" w14:textId="221FDD22" w:rsidR="008F14B3" w:rsidRDefault="008F14B3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</w:p>
    <w:p w14:paraId="3B7317E6" w14:textId="23415573" w:rsidR="008F14B3" w:rsidRDefault="008F14B3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</w:p>
    <w:p w14:paraId="1B4E38BC" w14:textId="6183CE0C" w:rsidR="008F14B3" w:rsidRDefault="008F14B3" w:rsidP="00F069D5">
      <w:pPr>
        <w:spacing w:after="0" w:line="240" w:lineRule="auto"/>
        <w:contextualSpacing/>
        <w:rPr>
          <w:rFonts w:ascii="Arial" w:eastAsia="Arial" w:hAnsi="Arial" w:cs="Arial"/>
          <w:b/>
          <w:sz w:val="28"/>
          <w:szCs w:val="24"/>
        </w:rPr>
      </w:pPr>
    </w:p>
    <w:tbl>
      <w:tblPr>
        <w:tblW w:w="5049" w:type="pct"/>
        <w:tblInd w:w="-95" w:type="dxa"/>
        <w:tblLayout w:type="fixed"/>
        <w:tblLook w:val="04A0" w:firstRow="1" w:lastRow="0" w:firstColumn="1" w:lastColumn="0" w:noHBand="0" w:noVBand="1"/>
      </w:tblPr>
      <w:tblGrid>
        <w:gridCol w:w="1259"/>
        <w:gridCol w:w="1308"/>
        <w:gridCol w:w="765"/>
        <w:gridCol w:w="1276"/>
        <w:gridCol w:w="1316"/>
        <w:gridCol w:w="1286"/>
        <w:gridCol w:w="1251"/>
        <w:gridCol w:w="1371"/>
      </w:tblGrid>
      <w:tr w:rsidR="00F069D5" w:rsidRPr="00DD3700" w14:paraId="66B18EDA" w14:textId="77777777" w:rsidTr="00F069D5">
        <w:trPr>
          <w:trHeight w:val="20"/>
        </w:trPr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DAC068D" w14:textId="548C7D04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B84264B" w14:textId="4BD1F8D9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03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BDC144" w14:textId="4C16244F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5AC4C7B" w14:textId="102128F2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Other Food Items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FEF168" w14:textId="3CEC3354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Non Food Items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880242E" w14:textId="7DA034E6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SUB-TOTAL (Food and NFIs)</w:t>
            </w:r>
          </w:p>
        </w:tc>
        <w:tc>
          <w:tcPr>
            <w:tcW w:w="697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6F8ED3A" w14:textId="3DE2A058" w:rsidR="00DD3700" w:rsidRPr="008F14B3" w:rsidRDefault="00DD3700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Total STANDBY FUNDS &amp; STOCKPILE</w:t>
            </w:r>
          </w:p>
        </w:tc>
      </w:tr>
      <w:tr w:rsidR="00F069D5" w:rsidRPr="00DD3700" w14:paraId="3C3FFDF3" w14:textId="77777777" w:rsidTr="00F069D5">
        <w:trPr>
          <w:trHeight w:val="20"/>
        </w:trPr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237A8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DE0889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FA6E2D" w14:textId="77777777" w:rsidR="008F14B3" w:rsidRPr="008F14B3" w:rsidRDefault="008F14B3" w:rsidP="00F069D5">
            <w:pPr>
              <w:widowControl/>
              <w:spacing w:after="0" w:line="240" w:lineRule="auto"/>
              <w:ind w:hanging="62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Quantity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361783B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 xml:space="preserve"> Total Cost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D4E5F00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Total Cost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9F6EAC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  <w:t>Total Cost</w:t>
            </w:r>
          </w:p>
        </w:tc>
        <w:tc>
          <w:tcPr>
            <w:tcW w:w="63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659712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617E88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F069D5" w:rsidRPr="00DD3700" w14:paraId="4BEBC774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E253F" w14:textId="77777777" w:rsidR="008F14B3" w:rsidRPr="008F14B3" w:rsidRDefault="008F14B3" w:rsidP="00DD3700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E7D727" w14:textId="3CEA9553" w:rsidR="008F14B3" w:rsidRPr="008F14B3" w:rsidRDefault="008F14B3" w:rsidP="00F069D5">
            <w:pPr>
              <w:widowControl/>
              <w:tabs>
                <w:tab w:val="left" w:pos="885"/>
              </w:tabs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1,109,437,849.36 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35B0FB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326,864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D387C5" w14:textId="2337E89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125,739,187.01 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0C4A55" w14:textId="03669BA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203,965,150.23 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8CA0CE" w14:textId="562C0410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523,319,657.79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01D779" w14:textId="4111FA5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727,284,808.02 </w:t>
            </w:r>
          </w:p>
        </w:tc>
        <w:tc>
          <w:tcPr>
            <w:tcW w:w="697" w:type="pct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B43896" w14:textId="1628979B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1,962,461,844.39 </w:t>
            </w:r>
          </w:p>
        </w:tc>
      </w:tr>
      <w:tr w:rsidR="00F069D5" w:rsidRPr="00DD3700" w14:paraId="13634C48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9BD0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Central Office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938E8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263238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263238"/>
                <w:sz w:val="18"/>
                <w:szCs w:val="18"/>
                <w:lang w:val="en-US" w:eastAsia="en-US"/>
              </w:rPr>
              <w:t>1,076,221,717.34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8D48E" w14:textId="4E02BC33" w:rsidR="008F14B3" w:rsidRPr="008F14B3" w:rsidRDefault="00DD3700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0EDE" w14:textId="3163C1C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5F32" w14:textId="5B0E589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E771" w14:textId="506A975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B191" w14:textId="6D76AD8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E782" w14:textId="00F75963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1,076,221,717.34 </w:t>
            </w:r>
          </w:p>
        </w:tc>
      </w:tr>
      <w:tr w:rsidR="00F069D5" w:rsidRPr="00DD3700" w14:paraId="0C4E9536" w14:textId="77777777" w:rsidTr="00F069D5">
        <w:trPr>
          <w:trHeight w:val="20"/>
        </w:trPr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7228C4" w14:textId="27479575" w:rsidR="008F14B3" w:rsidRPr="008F14B3" w:rsidRDefault="00F069D5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NRLMB-</w:t>
            </w:r>
            <w:r w:rsidR="008F14B3"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NROC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D367" w14:textId="17DCD708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-   </w:t>
            </w:r>
          </w:p>
        </w:tc>
        <w:tc>
          <w:tcPr>
            <w:tcW w:w="3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D4FB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44,791</w:t>
            </w:r>
          </w:p>
        </w:tc>
        <w:tc>
          <w:tcPr>
            <w:tcW w:w="6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94B9" w14:textId="0E32006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19,694,103.74 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55AA5" w14:textId="2F467FF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58,320,536.47 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332D2" w14:textId="1722D4E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286,261,308.65 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19C0B" w14:textId="43652EF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344,581,845.12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5891" w14:textId="3EA79C3E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364,275,948.86 </w:t>
            </w:r>
          </w:p>
        </w:tc>
      </w:tr>
      <w:tr w:rsidR="00F069D5" w:rsidRPr="00DD3700" w14:paraId="6E191FEC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EE6A0" w14:textId="351A178C" w:rsidR="008F14B3" w:rsidRPr="008F14B3" w:rsidRDefault="00F069D5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NRLMB-</w:t>
            </w:r>
            <w:r w:rsidR="008F14B3"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VDRC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24FD4" w14:textId="65E7CF58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-  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71B2" w14:textId="15B49319" w:rsidR="008F14B3" w:rsidRPr="008F14B3" w:rsidRDefault="00DD3700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DD3700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FB944" w14:textId="2515E5B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 -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34C6E" w14:textId="541B374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7,256,200.00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F300" w14:textId="3324CB2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6,387,750.00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1513" w14:textId="2591822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13,643,950.00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5E15" w14:textId="5A3A47B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13,643,950.00 </w:t>
            </w:r>
          </w:p>
        </w:tc>
      </w:tr>
      <w:tr w:rsidR="00F069D5" w:rsidRPr="00DD3700" w14:paraId="6F43C516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EA87D6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F42F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2,379,275.00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987F1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25,667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EC5C" w14:textId="08DD1604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9,374,274.78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6E06" w14:textId="7EA05AF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299,455.20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A588" w14:textId="68CEDA1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37,796,300.20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4BF0" w14:textId="6292C52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38,095,755.40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27DA" w14:textId="33A36175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49,849,305.18 </w:t>
            </w:r>
          </w:p>
        </w:tc>
      </w:tr>
      <w:tr w:rsidR="00F069D5" w:rsidRPr="00DD3700" w14:paraId="606D299F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CD69B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A44B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3,559,531.66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89CA1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28,662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D75A0" w14:textId="1DDEA6F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9,214,300.12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64A3F" w14:textId="2FF9D1D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998,872.00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4BE5" w14:textId="1DF30D0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2,219,096.75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7784" w14:textId="1046B42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3,217,968.75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4EF4E" w14:textId="037B3A3B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15,991,800.53 </w:t>
            </w:r>
          </w:p>
        </w:tc>
      </w:tr>
      <w:tr w:rsidR="00F069D5" w:rsidRPr="00DD3700" w14:paraId="426F64B7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E2B1FF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3596E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3,068,057.00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AA9FA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17,766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AD90" w14:textId="2975A40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7,770,150.48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7409" w14:textId="21227C0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2,420,969.70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24785" w14:textId="42FD106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7,081,527.15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EB9BF" w14:textId="016C176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9,502,496.85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894C1" w14:textId="2ACB13FA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20,340,704.33 </w:t>
            </w:r>
          </w:p>
        </w:tc>
      </w:tr>
      <w:tr w:rsidR="00F069D5" w:rsidRPr="00DD3700" w14:paraId="21BEC3CA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778796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CALABARZON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6DCA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1,772,325.00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5D898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4,555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FC95" w14:textId="4BCA28D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1,566,724.70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D744" w14:textId="258D052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3,187,954.80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3547" w14:textId="2E0C5B54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6,205,173.91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BBC16" w14:textId="2B18600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9,393,128.71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B62EC" w14:textId="61290DC9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12,732,178.41 </w:t>
            </w:r>
          </w:p>
        </w:tc>
      </w:tr>
      <w:tr w:rsidR="00F069D5" w:rsidRPr="00DD3700" w14:paraId="0E2F0447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69DDDF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MIMAROPA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8469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1,156,022.58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18629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27,060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C0D0" w14:textId="7F02D40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11,311,080.00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5D74E" w14:textId="2A8CDB9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1,030,561.74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D356" w14:textId="78D23CE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10,663,131.29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5316E" w14:textId="3477311A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11,693,693.03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622BA" w14:textId="5BA37B8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24,160,795.61 </w:t>
            </w:r>
          </w:p>
        </w:tc>
      </w:tr>
      <w:tr w:rsidR="00F069D5" w:rsidRPr="00DD3700" w14:paraId="087A8EA8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C3CEF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6C167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1,464,000.00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65BB1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25,943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75E2" w14:textId="29C5BB2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10,117,770.00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F3E1C" w14:textId="21A9EFA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5,829,520.72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9E4C" w14:textId="0F5CD39C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39,733,790.47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B98D" w14:textId="772EC2A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45,563,311.19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A3E73" w14:textId="57EDE58B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57,145,081.19 </w:t>
            </w:r>
          </w:p>
        </w:tc>
      </w:tr>
      <w:tr w:rsidR="00F069D5" w:rsidRPr="00DD3700" w14:paraId="7A6F42C7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F847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8D2D8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3,000,000.00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829C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8,716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61DA" w14:textId="5C8BE8E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3,137,760.00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D777" w14:textId="7E73A75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7,438,103.31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CC008" w14:textId="35E8576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6,184,569.00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FB78A" w14:textId="2D6DE24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13,622,672.31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11A8" w14:textId="6B8FCD02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19,760,432.31 </w:t>
            </w:r>
          </w:p>
        </w:tc>
      </w:tr>
      <w:tr w:rsidR="00F069D5" w:rsidRPr="00DD3700" w14:paraId="70F7B02A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61C9F3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3A48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2,300.00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AF2D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20,327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3514" w14:textId="06B8BD8A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7,317,720.00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110B" w14:textId="784C1BB0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10,728,790.83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7F21" w14:textId="1ACF36DC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19,670,441.78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EE4D" w14:textId="1A785C9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30,399,232.61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ED98" w14:textId="16847E9F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37,719,252.61 </w:t>
            </w:r>
          </w:p>
        </w:tc>
      </w:tr>
      <w:tr w:rsidR="00F069D5" w:rsidRPr="00DD3700" w14:paraId="6DDCD875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2E343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VIII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51C3C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3,755,235.00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8FADE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27,852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D0505" w14:textId="73FA5FF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10,273,889.32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659B8" w14:textId="67408E80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3,812,769.98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CDDEF" w14:textId="32A7A36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24,315,046.08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AD77D" w14:textId="6435B87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28,127,816.06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9C30E" w14:textId="7BF33ABF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42,156,940.38 </w:t>
            </w:r>
          </w:p>
        </w:tc>
      </w:tr>
      <w:tr w:rsidR="00F069D5" w:rsidRPr="00DD3700" w14:paraId="0DD75BA1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6901AE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IX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24FBE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1,888.85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A1C92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12,742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B9ED" w14:textId="3D21991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4,587,120.00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6503" w14:textId="4CFAC9D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1,363,280.00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C223" w14:textId="4C1D352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14,657,720.14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8C56" w14:textId="178E393F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16,021,000.14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2997E" w14:textId="4636F25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20,610,008.99 </w:t>
            </w:r>
          </w:p>
        </w:tc>
      </w:tr>
      <w:tr w:rsidR="00F069D5" w:rsidRPr="00DD3700" w14:paraId="441FA380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E2F5B3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88F12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3,000,000.00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847A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28,037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F51D" w14:textId="7217D7EA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10,246,307.39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4D9A" w14:textId="64599D7B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84,557,913.41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4CE5C" w14:textId="284D348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35,824,390.06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68D9" w14:textId="11447D0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120,382,303.47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4D56" w14:textId="35E85480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133,628,610.86 </w:t>
            </w:r>
          </w:p>
        </w:tc>
      </w:tr>
      <w:tr w:rsidR="00F069D5" w:rsidRPr="00DD3700" w14:paraId="186F9F08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D03561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C6F7B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3,028,750.00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D7FB9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10,336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9C555" w14:textId="2CFE83F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3,735,430.40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21A6" w14:textId="3B18C5C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2,726,400.00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B9FE" w14:textId="4067A46E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8,512,037.19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B1332" w14:textId="631BDA96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11,238,437.19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61C5" w14:textId="3E9DA966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18,002,617.59 </w:t>
            </w:r>
          </w:p>
        </w:tc>
      </w:tr>
      <w:tr w:rsidR="00F069D5" w:rsidRPr="00DD3700" w14:paraId="7700683E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34AEEE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XII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79CB4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3,000,701.68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80BB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9,083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4984" w14:textId="4178800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3,642,283.00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4704" w14:textId="46D45B7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8,284,807.00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13CF" w14:textId="2B24E5C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746,876.16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0BE3E" w14:textId="41900DE9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9,031,683.16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F4CC1" w14:textId="4E727ED5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15,674,667.84 </w:t>
            </w:r>
          </w:p>
        </w:tc>
      </w:tr>
      <w:tr w:rsidR="00F069D5" w:rsidRPr="00DD3700" w14:paraId="5E317AAC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C1472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CARAGA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9586C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708,696.75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1D624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13,446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0F1AE" w14:textId="19788D65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5,483,547.72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6872" w14:textId="490432AC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210,180.68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794C9" w14:textId="4118C99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3,612,431.96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3C5C6" w14:textId="6EF9E51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3,822,612.64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72635" w14:textId="03D78C24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10,014,857.11 </w:t>
            </w:r>
          </w:p>
        </w:tc>
      </w:tr>
      <w:tr w:rsidR="00F069D5" w:rsidRPr="00DD3700" w14:paraId="7749FB66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3BF3E6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NCR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891C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3,292,543.50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C6C0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6,346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637A" w14:textId="7F27E544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2,378,666.64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3435" w14:textId="079604D3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982,611.51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C859" w14:textId="2143C8C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10,538,332.60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BB1CF" w14:textId="40794D22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11,520,944.11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23DE" w14:textId="0890F3F6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17,192,154.25 </w:t>
            </w:r>
          </w:p>
        </w:tc>
      </w:tr>
      <w:tr w:rsidR="00F069D5" w:rsidRPr="00DD3700" w14:paraId="41E003A0" w14:textId="77777777" w:rsidTr="00F069D5">
        <w:trPr>
          <w:trHeight w:val="20"/>
        </w:trPr>
        <w:tc>
          <w:tcPr>
            <w:tcW w:w="6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3E6CA4" w14:textId="77777777" w:rsidR="008F14B3" w:rsidRPr="008F14B3" w:rsidRDefault="008F14B3" w:rsidP="00DD3700">
            <w:pPr>
              <w:widowControl/>
              <w:spacing w:after="0" w:line="240" w:lineRule="auto"/>
              <w:ind w:hanging="19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CAR</w:t>
            </w:r>
          </w:p>
        </w:tc>
        <w:tc>
          <w:tcPr>
            <w:tcW w:w="6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C1B2" w14:textId="77777777" w:rsidR="008F14B3" w:rsidRPr="008F14B3" w:rsidRDefault="008F14B3" w:rsidP="00F069D5">
            <w:pPr>
              <w:widowControl/>
              <w:spacing w:after="0" w:line="240" w:lineRule="auto"/>
              <w:ind w:hanging="113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26,805.00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595B8" w14:textId="7777777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>15,535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D7554" w14:textId="3BEBD958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5,888,058.72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B0E46" w14:textId="61FDC88D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4,516,222.88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8FE3" w14:textId="6003C347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2,909,734.40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FC5FE" w14:textId="0B6776E1" w:rsidR="008F14B3" w:rsidRPr="008F14B3" w:rsidRDefault="008F14B3" w:rsidP="00F069D5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7,425,957.28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6288" w14:textId="1B48416D" w:rsidR="008F14B3" w:rsidRPr="008F14B3" w:rsidRDefault="008F14B3" w:rsidP="00F069D5">
            <w:pPr>
              <w:widowControl/>
              <w:spacing w:after="0" w:line="240" w:lineRule="auto"/>
              <w:ind w:hanging="72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</w:pPr>
            <w:r w:rsidRPr="008F14B3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 w:eastAsia="en-US"/>
              </w:rPr>
              <w:t xml:space="preserve">   13,340,821.00 </w:t>
            </w:r>
          </w:p>
        </w:tc>
      </w:tr>
    </w:tbl>
    <w:p w14:paraId="47ED7956" w14:textId="5C411FA3" w:rsidR="003051AC" w:rsidRPr="001E433D" w:rsidRDefault="00CE6578" w:rsidP="00011C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*</w:t>
      </w:r>
      <w:bookmarkStart w:id="4" w:name="_Situational_Report_1"/>
      <w:bookmarkEnd w:id="4"/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Qu</w:t>
      </w:r>
      <w:r w:rsidR="00111EB0" w:rsidRPr="000F55EC">
        <w:rPr>
          <w:rFonts w:ascii="Arial" w:hAnsi="Arial" w:cs="Arial"/>
          <w:i/>
          <w:sz w:val="16"/>
          <w:szCs w:val="24"/>
        </w:rPr>
        <w:t>ick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Response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Fund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(QRF)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as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of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12 September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2019</w:t>
      </w:r>
    </w:p>
    <w:p w14:paraId="7C70D0D5" w14:textId="4FC6588E" w:rsidR="001E37C3" w:rsidRPr="000F55EC" w:rsidRDefault="007950A1" w:rsidP="00011C8D">
      <w:pP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>*</w:t>
      </w:r>
      <w:r w:rsidR="00044521" w:rsidRPr="000F55EC">
        <w:rPr>
          <w:rFonts w:ascii="Arial" w:hAnsi="Arial" w:cs="Arial"/>
          <w:i/>
          <w:sz w:val="16"/>
          <w:szCs w:val="24"/>
        </w:rPr>
        <w:t>*</w:t>
      </w:r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Status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Standby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Funds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and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Stockpile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</w:t>
      </w:r>
      <w:r w:rsidR="00011C8D">
        <w:rPr>
          <w:rFonts w:ascii="Arial" w:hAnsi="Arial" w:cs="Arial"/>
          <w:i/>
          <w:sz w:val="16"/>
          <w:szCs w:val="24"/>
        </w:rPr>
        <w:t>8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October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2019</w:t>
      </w:r>
    </w:p>
    <w:p w14:paraId="160B7E1D" w14:textId="0CCECFE1" w:rsidR="003829DF" w:rsidRPr="000F55EC" w:rsidRDefault="003829DF" w:rsidP="00011C8D">
      <w:pPr>
        <w:spacing w:after="0" w:line="240" w:lineRule="auto"/>
        <w:ind w:hanging="720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DADC5D" w14:textId="77777777" w:rsidR="00F37BE9" w:rsidRDefault="00F37BE9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02E97284" w:rsidR="00A01FA9" w:rsidRPr="000F55EC" w:rsidRDefault="00C46A8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C46A8D" w:rsidRPr="000F55EC" w14:paraId="01C5193C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42B73F9C" w14:textId="77777777" w:rsidR="00C46A8D" w:rsidRPr="000F55EC" w:rsidRDefault="00C46A8D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B100CBB" w14:textId="265810FB" w:rsidR="00C46A8D" w:rsidRPr="000F55EC" w:rsidRDefault="005C1D11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011C8D">
        <w:trPr>
          <w:jc w:val="center"/>
        </w:trPr>
        <w:tc>
          <w:tcPr>
            <w:tcW w:w="726" w:type="pct"/>
            <w:vAlign w:val="center"/>
          </w:tcPr>
          <w:p w14:paraId="0DC517F5" w14:textId="0A69B1BD" w:rsidR="00F04282" w:rsidRPr="00B818E2" w:rsidRDefault="009A3148" w:rsidP="00B818E2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20</w:t>
            </w:r>
            <w:r w:rsidR="00314465"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October 2019</w:t>
            </w:r>
          </w:p>
        </w:tc>
        <w:tc>
          <w:tcPr>
            <w:tcW w:w="4274" w:type="pct"/>
          </w:tcPr>
          <w:p w14:paraId="2DB0A6A1" w14:textId="340952DF" w:rsidR="00656C36" w:rsidRDefault="00137A4D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18FFEE9C" w14:textId="0D0632B5" w:rsidR="00803AAC" w:rsidRPr="000F55EC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F4B27D2" w:rsidR="00CE215F" w:rsidRPr="000F55EC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CE215F" w:rsidRPr="000F55EC" w14:paraId="43F3BC81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002ADBEB" w14:textId="77777777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743828B" w14:textId="2A1C1A1A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9A3148" w:rsidRPr="000F55EC" w14:paraId="29296926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58AD1B37" w14:textId="644C18A9" w:rsidR="009A3148" w:rsidRPr="00A67514" w:rsidRDefault="009A3148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20 October 2019</w:t>
            </w:r>
          </w:p>
        </w:tc>
        <w:tc>
          <w:tcPr>
            <w:tcW w:w="4274" w:type="pct"/>
            <w:vAlign w:val="center"/>
          </w:tcPr>
          <w:p w14:paraId="59B44AB8" w14:textId="56E371AF" w:rsidR="00513F7F" w:rsidRDefault="00513F7F" w:rsidP="00513F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municipality </w:t>
            </w:r>
            <w:r w:rsidR="007A725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of Magsaysay is declared under </w:t>
            </w:r>
            <w:r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State of Calamity</w:t>
            </w:r>
            <w:r w:rsidRPr="00A42F1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.</w:t>
            </w:r>
          </w:p>
          <w:p w14:paraId="03FA01F3" w14:textId="60989C62" w:rsidR="00513F7F" w:rsidRPr="00513F7F" w:rsidRDefault="009A3148" w:rsidP="00513F7F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DSWD-FO XI provided 900 Family Food Packs worth </w:t>
            </w:r>
            <w:r w:rsidR="00BD4DEA" w:rsidRPr="00BD4DE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₱</w:t>
            </w:r>
            <w:r w:rsidRP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325,260.00 and 230 Sleeping </w:t>
            </w:r>
            <w:r w:rsid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Kits</w:t>
            </w:r>
            <w:r w:rsidRP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worth </w:t>
            </w:r>
            <w:r w:rsidR="00BD4DEA" w:rsidRPr="00BD4DEA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₱</w:t>
            </w:r>
            <w:r w:rsidRP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158,700.00 to </w:t>
            </w:r>
            <w:r w:rsid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the </w:t>
            </w:r>
            <w:r w:rsidRP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affected families</w:t>
            </w:r>
            <w:r w:rsidR="00A67514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113397" w:rsidRPr="000F55EC" w14:paraId="5736080C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26085051" w14:textId="56B9AA4F" w:rsidR="00113397" w:rsidRPr="00314465" w:rsidRDefault="00113397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4274" w:type="pct"/>
            <w:vAlign w:val="center"/>
          </w:tcPr>
          <w:p w14:paraId="27FE05EC" w14:textId="27DD708A" w:rsidR="00113397" w:rsidRPr="00314465" w:rsidRDefault="00113397" w:rsidP="009F1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</w:t>
            </w:r>
            <w:r w:rsidR="009F11A9">
              <w:rPr>
                <w:rFonts w:ascii="Arial" w:eastAsia="Arial Narrow" w:hAnsi="Arial" w:cs="Arial"/>
                <w:sz w:val="20"/>
                <w:szCs w:val="24"/>
              </w:rPr>
              <w:t>r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elief operati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on to the affected families in m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unicipalities of Magsaysay, </w:t>
            </w:r>
            <w:proofErr w:type="spellStart"/>
            <w:r w:rsidRPr="00314465">
              <w:rPr>
                <w:rFonts w:ascii="Arial" w:eastAsia="Arial Narrow" w:hAnsi="Arial" w:cs="Arial"/>
                <w:sz w:val="20"/>
                <w:szCs w:val="24"/>
              </w:rPr>
              <w:t>Bansalan</w:t>
            </w:r>
            <w:proofErr w:type="spellEnd"/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 and </w:t>
            </w:r>
            <w:proofErr w:type="spellStart"/>
            <w:r w:rsidRPr="00314465">
              <w:rPr>
                <w:rFonts w:ascii="Arial" w:eastAsia="Arial Narrow" w:hAnsi="Arial" w:cs="Arial"/>
                <w:sz w:val="20"/>
                <w:szCs w:val="24"/>
              </w:rPr>
              <w:t>Matanao</w:t>
            </w:r>
            <w:proofErr w:type="spellEnd"/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 Davao Del Sur.</w:t>
            </w:r>
          </w:p>
        </w:tc>
      </w:tr>
      <w:tr w:rsidR="001017B1" w:rsidRPr="000F55EC" w14:paraId="4E570059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0F62EC7C" w14:textId="52A1A12A" w:rsidR="001017B1" w:rsidRPr="00B818E2" w:rsidRDefault="00656C36" w:rsidP="00656C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</w:t>
            </w:r>
            <w:r w:rsidR="000C0757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4274" w:type="pct"/>
            <w:vAlign w:val="center"/>
          </w:tcPr>
          <w:p w14:paraId="583FF15D" w14:textId="180465D4" w:rsidR="00656C36" w:rsidRPr="00B818E2" w:rsidRDefault="00656C36" w:rsidP="00656C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DSWD-FO XI through the Disaster Response Monitoring an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d Information Center (DROMIC) was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continuously coordinating with the Municipal Social Welfare and Development Office (MSWDO) of Magsaysay, Davao del Sur for updates and possible augmentation su</w:t>
            </w:r>
            <w:r w:rsidR="001E433D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pport for the affected families. </w:t>
            </w:r>
          </w:p>
          <w:p w14:paraId="5C4F75EC" w14:textId="77777777" w:rsidR="00CD4730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coordinated with Office of the Civil Defense (OCD) XI for updates on the status of affected families. </w:t>
            </w:r>
          </w:p>
          <w:p w14:paraId="61171A40" w14:textId="00C5B10B" w:rsidR="001E433D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ocular visit and assessment to the affected families. </w:t>
            </w:r>
          </w:p>
        </w:tc>
      </w:tr>
    </w:tbl>
    <w:p w14:paraId="46951AE8" w14:textId="77777777" w:rsidR="00B818E2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402C762A" w14:textId="2D56F87F" w:rsidR="00B818E2" w:rsidRPr="000F55EC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B818E2" w:rsidRPr="000F55EC" w14:paraId="7924EE3D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04BDEEB8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57BCAEF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DC63C2" w:rsidRPr="000F55EC" w14:paraId="6EE6810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4E47C682" w14:textId="227C86FE" w:rsidR="00DC63C2" w:rsidRPr="009A7D42" w:rsidRDefault="00DC63C2" w:rsidP="00FE18F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>19 October 2019</w:t>
            </w:r>
          </w:p>
        </w:tc>
        <w:tc>
          <w:tcPr>
            <w:tcW w:w="4274" w:type="pct"/>
            <w:vAlign w:val="center"/>
          </w:tcPr>
          <w:p w14:paraId="434D720F" w14:textId="60A4A3D2" w:rsidR="00C52D7F" w:rsidRPr="009A7D42" w:rsidRDefault="00DC63C2" w:rsidP="00C52D7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proofErr w:type="spellStart"/>
            <w:r w:rsidRPr="009A7D42">
              <w:rPr>
                <w:rFonts w:ascii="Arial" w:eastAsia="Arial Narrow" w:hAnsi="Arial" w:cs="Arial"/>
                <w:sz w:val="20"/>
                <w:szCs w:val="24"/>
              </w:rPr>
              <w:t>Sangguniang</w:t>
            </w:r>
            <w:proofErr w:type="spellEnd"/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Bayan of LGU </w:t>
            </w:r>
            <w:proofErr w:type="spellStart"/>
            <w:r w:rsidRPr="009A7D42">
              <w:rPr>
                <w:rFonts w:ascii="Arial" w:eastAsia="Arial Narrow" w:hAnsi="Arial" w:cs="Arial"/>
                <w:sz w:val="20"/>
                <w:szCs w:val="24"/>
              </w:rPr>
              <w:t>Makilala</w:t>
            </w:r>
            <w:proofErr w:type="spellEnd"/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 signed the SB Resolution No. 46 last October 17 declaring the entire municipality under </w:t>
            </w:r>
            <w:r w:rsidRPr="009A7D42">
              <w:rPr>
                <w:rFonts w:ascii="Arial" w:eastAsia="Arial Narrow" w:hAnsi="Arial" w:cs="Arial"/>
                <w:b/>
                <w:sz w:val="20"/>
                <w:szCs w:val="24"/>
              </w:rPr>
              <w:t>State of Calamity</w:t>
            </w:r>
            <w:r w:rsidRPr="009A7D42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32973C06" w14:textId="0B17A2B8" w:rsidR="00C52D7F" w:rsidRPr="009A7D42" w:rsidRDefault="00C52D7F" w:rsidP="00C52D7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DSWD XII will initially provide 2,256 Family Food Pack and laminated sacks to the affected families in </w:t>
            </w:r>
            <w:proofErr w:type="spellStart"/>
            <w:r w:rsidRPr="009A7D42">
              <w:rPr>
                <w:rFonts w:ascii="Arial" w:eastAsia="Arial Narrow" w:hAnsi="Arial" w:cs="Arial"/>
                <w:sz w:val="20"/>
                <w:szCs w:val="24"/>
              </w:rPr>
              <w:t>Makilala</w:t>
            </w:r>
            <w:proofErr w:type="spellEnd"/>
            <w:r w:rsidRPr="009A7D42">
              <w:rPr>
                <w:rFonts w:ascii="Arial" w:eastAsia="Arial Narrow" w:hAnsi="Arial" w:cs="Arial"/>
                <w:sz w:val="20"/>
                <w:szCs w:val="24"/>
              </w:rPr>
              <w:t xml:space="preserve">, North </w:t>
            </w:r>
            <w:proofErr w:type="spellStart"/>
            <w:r w:rsidRPr="009A7D42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9A7D42">
              <w:rPr>
                <w:rFonts w:ascii="Arial" w:eastAsia="Arial Narrow" w:hAnsi="Arial" w:cs="Arial"/>
                <w:sz w:val="20"/>
                <w:szCs w:val="24"/>
              </w:rPr>
              <w:t>. Schedule is set this Sunday, 20 October 2019.</w:t>
            </w:r>
          </w:p>
        </w:tc>
      </w:tr>
      <w:tr w:rsidR="00B818E2" w:rsidRPr="000F55EC" w14:paraId="2D536A6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18D49BF0" w14:textId="5EFDA060" w:rsidR="00B818E2" w:rsidRPr="00676939" w:rsidRDefault="00314465" w:rsidP="00FE18F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lastRenderedPageBreak/>
              <w:t>18</w:t>
            </w:r>
            <w:r w:rsidR="00B818E2" w:rsidRPr="00676939">
              <w:rPr>
                <w:rFonts w:ascii="Arial" w:eastAsia="Arial Narrow" w:hAnsi="Arial" w:cs="Arial"/>
                <w:sz w:val="20"/>
                <w:szCs w:val="24"/>
              </w:rPr>
              <w:t xml:space="preserve"> October 2019</w:t>
            </w:r>
          </w:p>
        </w:tc>
        <w:tc>
          <w:tcPr>
            <w:tcW w:w="4274" w:type="pct"/>
            <w:vAlign w:val="center"/>
          </w:tcPr>
          <w:p w14:paraId="46D67BAD" w14:textId="695C0CA9" w:rsidR="009402A8" w:rsidRPr="00676939" w:rsidRDefault="00314465" w:rsidP="009402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76939">
              <w:rPr>
                <w:rFonts w:ascii="Arial" w:eastAsia="Arial Narrow" w:hAnsi="Arial" w:cs="Arial"/>
                <w:sz w:val="20"/>
                <w:szCs w:val="24"/>
              </w:rPr>
              <w:t xml:space="preserve">DSWD-FO XII staff assisted in the conduct of Rapid Damage Assessment and Needs Analysis (RDANA) in North </w:t>
            </w:r>
            <w:proofErr w:type="spellStart"/>
            <w:r w:rsidRPr="00676939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676939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</w:tc>
      </w:tr>
      <w:tr w:rsidR="00314465" w:rsidRPr="000F55EC" w14:paraId="720195E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32BDE14C" w14:textId="2268EB59" w:rsidR="00314465" w:rsidRPr="00B818E2" w:rsidRDefault="00314465" w:rsidP="0031446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 October 2019</w:t>
            </w:r>
          </w:p>
        </w:tc>
        <w:tc>
          <w:tcPr>
            <w:tcW w:w="4274" w:type="pct"/>
            <w:vAlign w:val="center"/>
          </w:tcPr>
          <w:p w14:paraId="2E1970E7" w14:textId="4BB6B9BC" w:rsidR="00314465" w:rsidRPr="00B818E2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There were reported landslide incidents in the municipality of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Tulunan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 affecting two (2) </w:t>
            </w:r>
            <w:proofErr w:type="spellStart"/>
            <w:r>
              <w:rPr>
                <w:rFonts w:ascii="Arial" w:eastAsia="Arial Narrow" w:hAnsi="Arial" w:cs="Arial"/>
                <w:sz w:val="20"/>
                <w:szCs w:val="24"/>
              </w:rPr>
              <w:t>sitios</w:t>
            </w:r>
            <w:proofErr w:type="spellEnd"/>
            <w:r>
              <w:rPr>
                <w:rFonts w:ascii="Arial" w:eastAsia="Arial Narrow" w:hAnsi="Arial" w:cs="Arial"/>
                <w:sz w:val="20"/>
                <w:szCs w:val="24"/>
              </w:rPr>
              <w:t xml:space="preserve">. </w:t>
            </w:r>
          </w:p>
          <w:p w14:paraId="0D4E5699" w14:textId="41772EE1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CSWDO and MSWDO together with their respective MDRRMOs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was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doing their asse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ssment to get accurate data on the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numbers of familie</w:t>
            </w:r>
            <w:r w:rsidR="007005E8">
              <w:rPr>
                <w:rFonts w:ascii="Arial" w:eastAsia="Arial Narrow" w:hAnsi="Arial" w:cs="Arial"/>
                <w:sz w:val="20"/>
                <w:szCs w:val="24"/>
              </w:rPr>
              <w:t>s affected and the extent of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damaged structure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15CD58C" w14:textId="609E6912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DSWD-FO XII QRT members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on standby and</w:t>
            </w:r>
            <w:r w:rsidR="007005E8">
              <w:rPr>
                <w:rFonts w:ascii="Arial" w:eastAsia="Arial Narrow" w:hAnsi="Arial" w:cs="Arial"/>
                <w:sz w:val="20"/>
                <w:szCs w:val="24"/>
              </w:rPr>
              <w:t xml:space="preserve"> were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ready for activation if there’s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 need for deployment.</w:t>
            </w:r>
          </w:p>
          <w:p w14:paraId="3179048C" w14:textId="74A66A31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Four (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4</w:t>
            </w:r>
            <w:r>
              <w:rPr>
                <w:rFonts w:ascii="Arial" w:eastAsia="Arial Narrow" w:hAnsi="Arial" w:cs="Arial"/>
                <w:sz w:val="20"/>
                <w:szCs w:val="24"/>
              </w:rPr>
              <w:t>)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vehicle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ready for utilization in case of response activation.</w:t>
            </w:r>
          </w:p>
          <w:p w14:paraId="0AB03A8A" w14:textId="77777777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DRMD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staff conducted an actual validation in North </w:t>
            </w:r>
            <w:proofErr w:type="spellStart"/>
            <w:r w:rsidRPr="009402A8">
              <w:rPr>
                <w:rFonts w:ascii="Arial" w:eastAsia="Arial Narrow" w:hAnsi="Arial" w:cs="Arial"/>
                <w:sz w:val="20"/>
                <w:szCs w:val="24"/>
              </w:rPr>
              <w:t>Cotabato</w:t>
            </w:r>
            <w:proofErr w:type="spellEnd"/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areas.</w:t>
            </w:r>
          </w:p>
          <w:p w14:paraId="3978FFFE" w14:textId="25C28525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402A8">
              <w:rPr>
                <w:rFonts w:ascii="Arial" w:eastAsia="Arial Narrow" w:hAnsi="Arial" w:cs="Arial"/>
                <w:sz w:val="20"/>
                <w:szCs w:val="24"/>
              </w:rPr>
              <w:t>DSWD-FO XII attended</w:t>
            </w:r>
            <w:r>
              <w:t xml:space="preserve">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the Emergency Meeting headed by OCD XII. </w:t>
            </w:r>
          </w:p>
        </w:tc>
      </w:tr>
    </w:tbl>
    <w:p w14:paraId="1B7EC8D4" w14:textId="635D241E" w:rsidR="008611C7" w:rsidRPr="000F55EC" w:rsidRDefault="008611C7" w:rsidP="00011C8D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0F55E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3E0C48BC" w:rsidR="008E4F34" w:rsidRPr="008611C7" w:rsidRDefault="008611C7" w:rsidP="008611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Pr="008611C7">
        <w:rPr>
          <w:rFonts w:ascii="Arial" w:eastAsia="Arial" w:hAnsi="Arial" w:cs="Arial"/>
          <w:i/>
          <w:sz w:val="20"/>
          <w:szCs w:val="24"/>
        </w:rPr>
        <w:t>the concerned DSWD-Field Offices for any significant updates.</w:t>
      </w:r>
    </w:p>
    <w:p w14:paraId="4FA2BCA5" w14:textId="6202F4C4" w:rsidR="00011C8D" w:rsidRDefault="00011C8D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3BBC7244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7867A8" w14:textId="483D9172" w:rsidR="008E4F34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DIANE C. PELEGRINO</w:t>
      </w:r>
    </w:p>
    <w:p w14:paraId="7D01A2B2" w14:textId="073AC23D" w:rsidR="00676939" w:rsidRPr="000F55EC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GLENNALD O. PORILLO</w:t>
      </w:r>
    </w:p>
    <w:p w14:paraId="05D916AF" w14:textId="77777777" w:rsidR="00C65A8E" w:rsidRPr="000F55EC" w:rsidRDefault="00C65A8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08870E94" w:rsidR="00BF3197" w:rsidRPr="000F55EC" w:rsidRDefault="00676939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3E6ABCB9" w:rsidR="002D200E" w:rsidRPr="000F55EC" w:rsidRDefault="00C46A8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5C403" w14:textId="77777777" w:rsidR="00A146AC" w:rsidRDefault="00A146AC">
      <w:pPr>
        <w:spacing w:after="0" w:line="240" w:lineRule="auto"/>
      </w:pPr>
      <w:r>
        <w:separator/>
      </w:r>
    </w:p>
  </w:endnote>
  <w:endnote w:type="continuationSeparator" w:id="0">
    <w:p w14:paraId="5828320B" w14:textId="77777777" w:rsidR="00A146AC" w:rsidRDefault="00A1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9A3148" w:rsidRDefault="009A314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63BD3F4" w:rsidR="009A3148" w:rsidRPr="00432F91" w:rsidRDefault="009A3148" w:rsidP="005C5A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50208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50208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#5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Pr="00B21B72">
      <w:rPr>
        <w:rFonts w:ascii="Arial" w:eastAsia="Arial" w:hAnsi="Arial" w:cs="Arial"/>
        <w:sz w:val="14"/>
        <w:szCs w:val="14"/>
      </w:rPr>
      <w:t>Tulunan</w:t>
    </w:r>
    <w:proofErr w:type="spellEnd"/>
    <w:r w:rsidRPr="00B21B72">
      <w:rPr>
        <w:rFonts w:ascii="Arial" w:eastAsia="Arial" w:hAnsi="Arial" w:cs="Arial"/>
        <w:sz w:val="14"/>
        <w:szCs w:val="14"/>
      </w:rPr>
      <w:t xml:space="preserve">, North </w:t>
    </w:r>
    <w:proofErr w:type="spellStart"/>
    <w:r w:rsidRPr="00B21B72">
      <w:rPr>
        <w:rFonts w:ascii="Arial" w:eastAsia="Arial" w:hAnsi="Arial" w:cs="Arial"/>
        <w:sz w:val="14"/>
        <w:szCs w:val="14"/>
      </w:rPr>
      <w:t>Cotabato</w:t>
    </w:r>
    <w:proofErr w:type="spellEnd"/>
    <w:r>
      <w:rPr>
        <w:rFonts w:ascii="Arial" w:eastAsia="Arial" w:hAnsi="Arial" w:cs="Arial"/>
        <w:sz w:val="14"/>
        <w:szCs w:val="14"/>
      </w:rPr>
      <w:t xml:space="preserve"> as of 20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12NN</w:t>
    </w:r>
  </w:p>
  <w:p w14:paraId="0645D380" w14:textId="23C83138" w:rsidR="009A3148" w:rsidRDefault="009A3148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AF885" w14:textId="77777777" w:rsidR="00A146AC" w:rsidRDefault="00A146AC">
      <w:pPr>
        <w:spacing w:after="0" w:line="240" w:lineRule="auto"/>
      </w:pPr>
      <w:r>
        <w:separator/>
      </w:r>
    </w:p>
  </w:footnote>
  <w:footnote w:type="continuationSeparator" w:id="0">
    <w:p w14:paraId="62011427" w14:textId="77777777" w:rsidR="00A146AC" w:rsidRDefault="00A14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9A3148" w:rsidRDefault="009A314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9A3148" w:rsidRDefault="009A314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9A3148" w:rsidRDefault="009A314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9A3148" w:rsidRPr="00AC4062" w:rsidRDefault="009A314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9A3148" w:rsidRDefault="009A31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01C640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0"/>
  </w:num>
  <w:num w:numId="4">
    <w:abstractNumId w:val="21"/>
  </w:num>
  <w:num w:numId="5">
    <w:abstractNumId w:val="22"/>
  </w:num>
  <w:num w:numId="6">
    <w:abstractNumId w:val="34"/>
  </w:num>
  <w:num w:numId="7">
    <w:abstractNumId w:val="19"/>
  </w:num>
  <w:num w:numId="8">
    <w:abstractNumId w:val="42"/>
  </w:num>
  <w:num w:numId="9">
    <w:abstractNumId w:val="16"/>
  </w:num>
  <w:num w:numId="10">
    <w:abstractNumId w:val="29"/>
  </w:num>
  <w:num w:numId="11">
    <w:abstractNumId w:val="12"/>
  </w:num>
  <w:num w:numId="12">
    <w:abstractNumId w:val="35"/>
  </w:num>
  <w:num w:numId="13">
    <w:abstractNumId w:val="28"/>
  </w:num>
  <w:num w:numId="14">
    <w:abstractNumId w:val="23"/>
  </w:num>
  <w:num w:numId="15">
    <w:abstractNumId w:val="46"/>
  </w:num>
  <w:num w:numId="16">
    <w:abstractNumId w:val="14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1"/>
  </w:num>
  <w:num w:numId="28">
    <w:abstractNumId w:val="27"/>
  </w:num>
  <w:num w:numId="29">
    <w:abstractNumId w:val="26"/>
  </w:num>
  <w:num w:numId="30">
    <w:abstractNumId w:val="20"/>
  </w:num>
  <w:num w:numId="31">
    <w:abstractNumId w:val="17"/>
  </w:num>
  <w:num w:numId="32">
    <w:abstractNumId w:val="45"/>
  </w:num>
  <w:num w:numId="33">
    <w:abstractNumId w:val="24"/>
  </w:num>
  <w:num w:numId="34">
    <w:abstractNumId w:val="39"/>
  </w:num>
  <w:num w:numId="35">
    <w:abstractNumId w:val="30"/>
  </w:num>
  <w:num w:numId="36">
    <w:abstractNumId w:val="32"/>
  </w:num>
  <w:num w:numId="37">
    <w:abstractNumId w:val="9"/>
  </w:num>
  <w:num w:numId="38">
    <w:abstractNumId w:val="11"/>
  </w:num>
  <w:num w:numId="39">
    <w:abstractNumId w:val="40"/>
  </w:num>
  <w:num w:numId="40">
    <w:abstractNumId w:val="2"/>
  </w:num>
  <w:num w:numId="41">
    <w:abstractNumId w:val="37"/>
  </w:num>
  <w:num w:numId="42">
    <w:abstractNumId w:val="43"/>
  </w:num>
  <w:num w:numId="43">
    <w:abstractNumId w:val="33"/>
  </w:num>
  <w:num w:numId="44">
    <w:abstractNumId w:val="0"/>
  </w:num>
  <w:num w:numId="45">
    <w:abstractNumId w:val="36"/>
  </w:num>
  <w:num w:numId="46">
    <w:abstractNumId w:val="25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01C5"/>
    <w:rsid w:val="00021C4E"/>
    <w:rsid w:val="0002280A"/>
    <w:rsid w:val="0002303D"/>
    <w:rsid w:val="00035E06"/>
    <w:rsid w:val="00042FEB"/>
    <w:rsid w:val="00044521"/>
    <w:rsid w:val="00046C16"/>
    <w:rsid w:val="00046FA7"/>
    <w:rsid w:val="00057461"/>
    <w:rsid w:val="00057C6C"/>
    <w:rsid w:val="000645FA"/>
    <w:rsid w:val="00070950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A2FD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3397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107E0"/>
    <w:rsid w:val="00222413"/>
    <w:rsid w:val="002372BE"/>
    <w:rsid w:val="00246CDF"/>
    <w:rsid w:val="00250D5A"/>
    <w:rsid w:val="00251C9C"/>
    <w:rsid w:val="002538C5"/>
    <w:rsid w:val="0026380D"/>
    <w:rsid w:val="00276F61"/>
    <w:rsid w:val="00282674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7968"/>
    <w:rsid w:val="002D200E"/>
    <w:rsid w:val="002D320D"/>
    <w:rsid w:val="002D4462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602D"/>
    <w:rsid w:val="00337482"/>
    <w:rsid w:val="00342B68"/>
    <w:rsid w:val="00345185"/>
    <w:rsid w:val="0035250A"/>
    <w:rsid w:val="0035267A"/>
    <w:rsid w:val="00353789"/>
    <w:rsid w:val="00353941"/>
    <w:rsid w:val="003552F2"/>
    <w:rsid w:val="0035686E"/>
    <w:rsid w:val="00360028"/>
    <w:rsid w:val="00360385"/>
    <w:rsid w:val="003615E5"/>
    <w:rsid w:val="003618ED"/>
    <w:rsid w:val="00366DFB"/>
    <w:rsid w:val="0036787F"/>
    <w:rsid w:val="003704F0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3F7F"/>
    <w:rsid w:val="00514E1E"/>
    <w:rsid w:val="0052236E"/>
    <w:rsid w:val="005319D8"/>
    <w:rsid w:val="005367E8"/>
    <w:rsid w:val="0053798E"/>
    <w:rsid w:val="00546467"/>
    <w:rsid w:val="00553000"/>
    <w:rsid w:val="005560CF"/>
    <w:rsid w:val="00557966"/>
    <w:rsid w:val="00560660"/>
    <w:rsid w:val="0056186E"/>
    <w:rsid w:val="00566326"/>
    <w:rsid w:val="0056752C"/>
    <w:rsid w:val="00567A7B"/>
    <w:rsid w:val="00571454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939"/>
    <w:rsid w:val="00676B4A"/>
    <w:rsid w:val="00690172"/>
    <w:rsid w:val="00693963"/>
    <w:rsid w:val="00696EDD"/>
    <w:rsid w:val="0069788A"/>
    <w:rsid w:val="006A2704"/>
    <w:rsid w:val="006A2821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A2974"/>
    <w:rsid w:val="007A7257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7F60A7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A6E5E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4B3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80C"/>
    <w:rsid w:val="00957E0E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134"/>
    <w:rsid w:val="00982647"/>
    <w:rsid w:val="00982C42"/>
    <w:rsid w:val="00985089"/>
    <w:rsid w:val="00992561"/>
    <w:rsid w:val="00993737"/>
    <w:rsid w:val="00997761"/>
    <w:rsid w:val="00997925"/>
    <w:rsid w:val="009A3148"/>
    <w:rsid w:val="009A5915"/>
    <w:rsid w:val="009A62E2"/>
    <w:rsid w:val="009A72DD"/>
    <w:rsid w:val="009A7847"/>
    <w:rsid w:val="009A7D42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3ED5"/>
    <w:rsid w:val="00A04C59"/>
    <w:rsid w:val="00A055F1"/>
    <w:rsid w:val="00A05E4F"/>
    <w:rsid w:val="00A06DE1"/>
    <w:rsid w:val="00A10E6B"/>
    <w:rsid w:val="00A11005"/>
    <w:rsid w:val="00A1174B"/>
    <w:rsid w:val="00A146AC"/>
    <w:rsid w:val="00A1706A"/>
    <w:rsid w:val="00A249D9"/>
    <w:rsid w:val="00A265AF"/>
    <w:rsid w:val="00A26BA0"/>
    <w:rsid w:val="00A404BF"/>
    <w:rsid w:val="00A42F16"/>
    <w:rsid w:val="00A455BB"/>
    <w:rsid w:val="00A5377A"/>
    <w:rsid w:val="00A60B98"/>
    <w:rsid w:val="00A61C95"/>
    <w:rsid w:val="00A63054"/>
    <w:rsid w:val="00A6751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2B25"/>
    <w:rsid w:val="00AC4062"/>
    <w:rsid w:val="00AC5192"/>
    <w:rsid w:val="00AD3C14"/>
    <w:rsid w:val="00AD4712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B7195"/>
    <w:rsid w:val="00BC20A4"/>
    <w:rsid w:val="00BC2AFC"/>
    <w:rsid w:val="00BC2B49"/>
    <w:rsid w:val="00BC57D7"/>
    <w:rsid w:val="00BC5A8D"/>
    <w:rsid w:val="00BC7E2F"/>
    <w:rsid w:val="00BD4C30"/>
    <w:rsid w:val="00BD4DEA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32E21"/>
    <w:rsid w:val="00C42C48"/>
    <w:rsid w:val="00C4365E"/>
    <w:rsid w:val="00C43A1A"/>
    <w:rsid w:val="00C46A8D"/>
    <w:rsid w:val="00C47501"/>
    <w:rsid w:val="00C47C54"/>
    <w:rsid w:val="00C527D5"/>
    <w:rsid w:val="00C52D7F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6731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6210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0208"/>
    <w:rsid w:val="00D553B9"/>
    <w:rsid w:val="00D57D0D"/>
    <w:rsid w:val="00D61622"/>
    <w:rsid w:val="00D63A6F"/>
    <w:rsid w:val="00D63CC6"/>
    <w:rsid w:val="00D72083"/>
    <w:rsid w:val="00D723E0"/>
    <w:rsid w:val="00D77343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3C2"/>
    <w:rsid w:val="00DC6DB4"/>
    <w:rsid w:val="00DC7C16"/>
    <w:rsid w:val="00DD070D"/>
    <w:rsid w:val="00DD0718"/>
    <w:rsid w:val="00DD3700"/>
    <w:rsid w:val="00DD3DDF"/>
    <w:rsid w:val="00DE1334"/>
    <w:rsid w:val="00DE2C90"/>
    <w:rsid w:val="00DE772C"/>
    <w:rsid w:val="00DF1166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0FDB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13F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9D5"/>
    <w:rsid w:val="00F06DEC"/>
    <w:rsid w:val="00F13D1D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0EB2"/>
    <w:rsid w:val="00F91BCF"/>
    <w:rsid w:val="00F9261F"/>
    <w:rsid w:val="00F966AA"/>
    <w:rsid w:val="00F97F18"/>
    <w:rsid w:val="00FA1B50"/>
    <w:rsid w:val="00FA305B"/>
    <w:rsid w:val="00FA38BA"/>
    <w:rsid w:val="00FA429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B5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C02C-9C31-49E1-BFD6-2C0EB33C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22</cp:revision>
  <cp:lastPrinted>2019-04-24T18:30:00Z</cp:lastPrinted>
  <dcterms:created xsi:type="dcterms:W3CDTF">2019-10-19T09:02:00Z</dcterms:created>
  <dcterms:modified xsi:type="dcterms:W3CDTF">2019-10-20T03:17:00Z</dcterms:modified>
</cp:coreProperties>
</file>