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61B2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196E7E">
        <w:rPr>
          <w:rFonts w:ascii="Arial" w:eastAsia="Arial" w:hAnsi="Arial" w:cs="Arial"/>
          <w:b/>
          <w:sz w:val="32"/>
          <w:szCs w:val="24"/>
        </w:rPr>
        <w:t>7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</w:t>
      </w:r>
    </w:p>
    <w:p w:rsidR="003D796E" w:rsidRDefault="00220314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551CD3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96E7E">
        <w:rPr>
          <w:rFonts w:ascii="Arial" w:eastAsia="Arial" w:hAnsi="Arial" w:cs="Arial"/>
          <w:sz w:val="24"/>
          <w:szCs w:val="24"/>
        </w:rPr>
        <w:t>01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196E7E">
        <w:rPr>
          <w:rFonts w:ascii="Arial" w:eastAsia="Arial" w:hAnsi="Arial" w:cs="Arial"/>
          <w:sz w:val="24"/>
          <w:szCs w:val="24"/>
        </w:rPr>
        <w:t>Octo</w:t>
      </w:r>
      <w:r w:rsidR="00D84C9E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96E7E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9B61B2" w:rsidRDefault="009B61B2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304E7" w:rsidRDefault="002304E7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D0872" w:rsidRPr="00551CD3" w:rsidRDefault="00114D5E" w:rsidP="002304E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215766" w:rsidRDefault="00215766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15766" w:rsidRDefault="00FB1A3A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</w:t>
      </w:r>
      <w:r w:rsidR="00D50291">
        <w:rPr>
          <w:rFonts w:ascii="Arial" w:hAnsi="Arial" w:cs="Arial"/>
          <w:color w:val="auto"/>
          <w:sz w:val="24"/>
          <w:szCs w:val="24"/>
        </w:rPr>
        <w:t>Marilyn” which was form</w:t>
      </w:r>
      <w:r w:rsidR="008055EC">
        <w:rPr>
          <w:rFonts w:ascii="Arial" w:hAnsi="Arial" w:cs="Arial"/>
          <w:color w:val="auto"/>
          <w:sz w:val="24"/>
          <w:szCs w:val="24"/>
        </w:rPr>
        <w:t>ed on 12 September 2019. Though</w:t>
      </w:r>
      <w:r w:rsidR="00D50291">
        <w:rPr>
          <w:rFonts w:ascii="Arial" w:hAnsi="Arial" w:cs="Arial"/>
          <w:color w:val="auto"/>
          <w:sz w:val="24"/>
          <w:szCs w:val="24"/>
        </w:rPr>
        <w:t xml:space="preserve">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</w:t>
      </w:r>
      <w:r w:rsidR="00D50291">
        <w:rPr>
          <w:rFonts w:ascii="Arial" w:hAnsi="Arial" w:cs="Arial"/>
          <w:color w:val="auto"/>
          <w:sz w:val="24"/>
          <w:szCs w:val="24"/>
        </w:rPr>
        <w:t>ilippine Area of Responsibility on 15 September 2019, the S</w:t>
      </w:r>
      <w:r w:rsidR="00FB63A0">
        <w:rPr>
          <w:rFonts w:ascii="Arial" w:hAnsi="Arial" w:cs="Arial"/>
          <w:color w:val="auto"/>
          <w:sz w:val="24"/>
          <w:szCs w:val="24"/>
        </w:rPr>
        <w:t xml:space="preserve">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loudy skies with scattered </w:t>
      </w:r>
      <w:r w:rsidR="00865316" w:rsidRPr="00FB1A3A">
        <w:rPr>
          <w:rFonts w:ascii="Arial" w:hAnsi="Arial" w:cs="Arial"/>
          <w:color w:val="auto"/>
          <w:sz w:val="24"/>
          <w:szCs w:val="24"/>
        </w:rPr>
        <w:t>rain showers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="002B58D3">
        <w:rPr>
          <w:rFonts w:ascii="Arial" w:hAnsi="Arial" w:cs="Arial"/>
          <w:color w:val="auto"/>
          <w:sz w:val="24"/>
          <w:szCs w:val="24"/>
        </w:rPr>
        <w:t>ossible flash</w:t>
      </w:r>
      <w:r w:rsidRPr="00FB1A3A">
        <w:rPr>
          <w:rFonts w:ascii="Arial" w:hAnsi="Arial" w:cs="Arial"/>
          <w:color w:val="auto"/>
          <w:sz w:val="24"/>
          <w:szCs w:val="24"/>
        </w:rPr>
        <w:t>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619EA" w:rsidRDefault="00A81C78" w:rsidP="002304E7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2304E7" w:rsidRPr="00215766" w:rsidRDefault="002304E7" w:rsidP="002304E7">
      <w:pPr>
        <w:spacing w:after="0" w:line="240" w:lineRule="auto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446D5E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Pr="00F1395B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color w:val="auto"/>
          <w:sz w:val="24"/>
          <w:szCs w:val="24"/>
        </w:rPr>
      </w:pPr>
      <w:r w:rsidRPr="001E1BB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 total </w:t>
      </w:r>
      <w:r w:rsidRPr="00D50291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C375E0">
        <w:rPr>
          <w:rFonts w:ascii="Arial" w:eastAsia="Times New Roman" w:hAnsi="Arial" w:cs="Arial"/>
          <w:b/>
          <w:bCs/>
          <w:color w:val="0070C0"/>
          <w:sz w:val="24"/>
          <w:szCs w:val="24"/>
        </w:rPr>
        <w:t>125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D5029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>15,</w:t>
      </w:r>
      <w:r w:rsidR="00C375E0">
        <w:rPr>
          <w:rFonts w:ascii="Arial" w:eastAsia="Times New Roman" w:hAnsi="Arial" w:cs="Arial"/>
          <w:b/>
          <w:bCs/>
          <w:color w:val="0070C0"/>
          <w:sz w:val="24"/>
          <w:szCs w:val="24"/>
        </w:rPr>
        <w:t>436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effects of </w:t>
      </w:r>
      <w:r w:rsidR="00250A39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Southwest Monsoon enhanced by </w:t>
      </w:r>
      <w:r w:rsidR="00FB63A0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TD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>“Marilyn”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D50291" w:rsidRPr="00EA23DD">
        <w:rPr>
          <w:rFonts w:ascii="Arial" w:eastAsia="Times New Roman" w:hAnsi="Arial" w:cs="Arial"/>
          <w:b/>
          <w:bCs/>
          <w:color w:val="auto"/>
          <w:sz w:val="24"/>
          <w:szCs w:val="24"/>
        </w:rPr>
        <w:t>32</w:t>
      </w:r>
      <w:r w:rsidRPr="00EA23D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F1395B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F1395B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F1395B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F1395B">
        <w:rPr>
          <w:rFonts w:ascii="Arial" w:eastAsia="Times New Roman" w:hAnsi="Arial" w:cs="Arial"/>
          <w:b/>
          <w:color w:val="auto"/>
          <w:sz w:val="24"/>
          <w:szCs w:val="24"/>
        </w:rPr>
        <w:t xml:space="preserve"> I</w:t>
      </w:r>
      <w:r w:rsidR="00425D5C" w:rsidRPr="00F1395B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D75F00" w:rsidRPr="00F1395B">
        <w:rPr>
          <w:rFonts w:ascii="Arial" w:eastAsia="Times New Roman" w:hAnsi="Arial" w:cs="Arial"/>
          <w:b/>
          <w:color w:val="auto"/>
          <w:sz w:val="24"/>
          <w:szCs w:val="24"/>
        </w:rPr>
        <w:t>, XI</w:t>
      </w:r>
      <w:r w:rsidRPr="00F1395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1395B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F1395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F1395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Pr="00F1395B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:rsidR="00446D5E" w:rsidRDefault="00446D5E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82"/>
        <w:gridCol w:w="2765"/>
        <w:gridCol w:w="2269"/>
        <w:gridCol w:w="2269"/>
      </w:tblGrid>
      <w:tr w:rsidR="00196E7E" w:rsidRPr="00196E7E" w:rsidTr="00196E7E">
        <w:trPr>
          <w:trHeight w:val="20"/>
          <w:tblHeader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96E7E" w:rsidRPr="00196E7E" w:rsidTr="00196E7E">
        <w:trPr>
          <w:trHeight w:val="20"/>
          <w:tblHeader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15,436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8,207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7,094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624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Sultan </w:t>
            </w:r>
            <w:proofErr w:type="spellStart"/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4,390 </w:t>
            </w:r>
          </w:p>
        </w:tc>
      </w:tr>
    </w:tbl>
    <w:p w:rsidR="00215766" w:rsidRDefault="00563741" w:rsidP="002304E7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D0872" w:rsidRDefault="00563741" w:rsidP="002304E7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551CD3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B58D3" w:rsidRPr="002B58D3" w:rsidRDefault="002B58D3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563741" w:rsidRPr="000F55EC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Pr="0003177A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177A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0317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103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516</w:t>
      </w:r>
      <w:r w:rsidR="00214C3F"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are </w:t>
      </w:r>
      <w:r w:rsidR="008055EC">
        <w:rPr>
          <w:rFonts w:ascii="Arial" w:eastAsia="Arial" w:hAnsi="Arial" w:cs="Arial"/>
          <w:color w:val="auto"/>
          <w:sz w:val="24"/>
          <w:szCs w:val="24"/>
        </w:rPr>
        <w:t>still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taking shelter in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03177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1E1BBA" w:rsidRPr="0003177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6153C" w:rsidRPr="0003177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="00D75F00" w:rsidRPr="0003177A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 w:rsidRPr="0003177A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589"/>
        <w:gridCol w:w="1473"/>
        <w:gridCol w:w="1662"/>
        <w:gridCol w:w="1413"/>
        <w:gridCol w:w="1410"/>
        <w:gridCol w:w="1413"/>
        <w:gridCol w:w="1401"/>
      </w:tblGrid>
      <w:tr w:rsidR="002F416A" w:rsidRPr="002F416A" w:rsidTr="002F416A">
        <w:trPr>
          <w:trHeight w:val="20"/>
        </w:trPr>
        <w:tc>
          <w:tcPr>
            <w:tcW w:w="1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516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416A" w:rsidRPr="002F416A" w:rsidTr="002F416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416A" w:rsidRPr="002F416A" w:rsidTr="002F416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416A" w:rsidRPr="002F416A" w:rsidTr="002F416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516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 </w:t>
            </w:r>
          </w:p>
        </w:tc>
      </w:tr>
      <w:tr w:rsidR="002F416A" w:rsidRPr="002F416A" w:rsidTr="002F416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2F416A" w:rsidRPr="002F416A" w:rsidTr="002F416A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395 </w:t>
            </w:r>
          </w:p>
        </w:tc>
      </w:tr>
      <w:tr w:rsidR="002F416A" w:rsidRPr="002F416A" w:rsidTr="002F416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16A" w:rsidRPr="002F416A" w:rsidRDefault="002F416A" w:rsidP="002F41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1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395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9B61B2" w:rsidRDefault="009B61B2" w:rsidP="002304E7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304E7" w:rsidRDefault="002304E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8F5465" w:rsidRDefault="00425D5C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51CD3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567C6">
        <w:rPr>
          <w:rFonts w:ascii="Arial" w:eastAsia="Arial" w:hAnsi="Arial" w:cs="Arial"/>
          <w:b/>
          <w:color w:val="0070C0"/>
          <w:sz w:val="24"/>
          <w:szCs w:val="24"/>
        </w:rPr>
        <w:t>310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>6,</w:t>
      </w:r>
      <w:r w:rsidR="000F4528">
        <w:rPr>
          <w:rFonts w:ascii="Arial" w:eastAsia="Arial" w:hAnsi="Arial" w:cs="Arial"/>
          <w:b/>
          <w:color w:val="0070C0"/>
          <w:sz w:val="24"/>
          <w:szCs w:val="24"/>
        </w:rPr>
        <w:t>578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FB1A3A" w:rsidRPr="00551CD3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1E1BBA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1E1BBA" w:rsidRPr="001E1BB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1E1BBA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(see </w:t>
      </w:r>
      <w:r w:rsidRPr="008F5465">
        <w:rPr>
          <w:rFonts w:ascii="Arial" w:eastAsia="Arial" w:hAnsi="Arial" w:cs="Arial"/>
          <w:color w:val="auto"/>
          <w:sz w:val="24"/>
          <w:szCs w:val="24"/>
        </w:rPr>
        <w:t>Table 3).</w:t>
      </w:r>
    </w:p>
    <w:p w:rsidR="00551CD3" w:rsidRPr="00551CD3" w:rsidRDefault="00551CD3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2304E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62F7C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988"/>
        <w:gridCol w:w="1711"/>
        <w:gridCol w:w="1711"/>
        <w:gridCol w:w="1978"/>
        <w:gridCol w:w="1973"/>
      </w:tblGrid>
      <w:tr w:rsidR="00717026" w:rsidRPr="00717026" w:rsidTr="00717026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1,320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6,578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17026" w:rsidRPr="00717026" w:rsidTr="00717026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1,310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6,578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</w:tr>
      <w:tr w:rsidR="00717026" w:rsidRPr="00717026" w:rsidTr="00717026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</w:tr>
      <w:tr w:rsidR="00717026" w:rsidRPr="00717026" w:rsidTr="0071702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1,215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6,075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6,075 </w:t>
            </w:r>
          </w:p>
        </w:tc>
      </w:tr>
      <w:tr w:rsidR="00717026" w:rsidRPr="00717026" w:rsidTr="00717026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1,685 </w:t>
            </w:r>
          </w:p>
        </w:tc>
      </w:tr>
      <w:tr w:rsidR="00717026" w:rsidRPr="00717026" w:rsidTr="00717026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026" w:rsidRPr="00717026" w:rsidRDefault="00717026" w:rsidP="00717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4,390 </w:t>
            </w:r>
          </w:p>
        </w:tc>
      </w:tr>
    </w:tbl>
    <w:p w:rsidR="00425D5C" w:rsidRPr="00716903" w:rsidRDefault="00425D5C" w:rsidP="002304E7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ote: </w:t>
      </w:r>
      <w:r w:rsidR="000317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increase in the number of affected families or persons Outside ECs is due to the reported families affected in the municipality of </w:t>
      </w:r>
      <w:proofErr w:type="spellStart"/>
      <w:r w:rsidR="0003177A">
        <w:rPr>
          <w:rFonts w:ascii="Arial" w:eastAsia="Times New Roman" w:hAnsi="Arial" w:cs="Arial"/>
          <w:i/>
          <w:iCs/>
          <w:color w:val="222222"/>
          <w:sz w:val="16"/>
          <w:szCs w:val="24"/>
        </w:rPr>
        <w:t>Lebak</w:t>
      </w:r>
      <w:proofErr w:type="spellEnd"/>
      <w:r w:rsidR="000317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.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 assessment and validation being conducted.</w:t>
      </w:r>
    </w:p>
    <w:p w:rsidR="00F76AA9" w:rsidRDefault="00425D5C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25D5C" w:rsidRPr="00AA7CD0" w:rsidRDefault="00425D5C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475C3E" w:rsidRDefault="00425A77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475C3E">
        <w:rPr>
          <w:rFonts w:ascii="Arial" w:hAnsi="Arial" w:cs="Arial"/>
          <w:bCs/>
          <w:color w:val="auto"/>
          <w:sz w:val="24"/>
          <w:szCs w:val="24"/>
        </w:rPr>
        <w:t>There are</w:t>
      </w:r>
      <w:r w:rsidR="00425D5C" w:rsidRPr="00475C3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475C3E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11CA3" w:rsidRPr="00475C3E">
        <w:rPr>
          <w:rFonts w:ascii="Arial" w:hAnsi="Arial" w:cs="Arial"/>
          <w:b/>
          <w:bCs/>
          <w:color w:val="auto"/>
          <w:sz w:val="24"/>
          <w:szCs w:val="24"/>
        </w:rPr>
        <w:t>99</w:t>
      </w:r>
      <w:r w:rsidR="00425D5C" w:rsidRPr="00475C3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75C3E">
        <w:rPr>
          <w:rFonts w:ascii="Arial" w:hAnsi="Arial" w:cs="Arial"/>
          <w:b/>
          <w:bCs/>
          <w:color w:val="auto"/>
          <w:sz w:val="24"/>
          <w:szCs w:val="24"/>
        </w:rPr>
        <w:t xml:space="preserve">damaged </w:t>
      </w:r>
      <w:r w:rsidR="00425D5C" w:rsidRPr="00475C3E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 w:rsidRPr="00475C3E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52771" w:rsidRPr="00475C3E">
        <w:rPr>
          <w:rFonts w:ascii="Arial" w:hAnsi="Arial" w:cs="Arial"/>
          <w:b/>
          <w:bCs/>
          <w:color w:val="auto"/>
          <w:sz w:val="24"/>
          <w:szCs w:val="24"/>
        </w:rPr>
        <w:t>44</w:t>
      </w:r>
      <w:r w:rsidRPr="00475C3E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475C3E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Pr="00475C3E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B11CA3" w:rsidRPr="00475C3E">
        <w:rPr>
          <w:rFonts w:ascii="Arial" w:hAnsi="Arial" w:cs="Arial"/>
          <w:b/>
          <w:bCs/>
          <w:color w:val="auto"/>
          <w:sz w:val="24"/>
          <w:szCs w:val="24"/>
        </w:rPr>
        <w:t>155</w:t>
      </w:r>
      <w:r w:rsidRPr="00475C3E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475C3E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Pr="00475C3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25D5C" w:rsidRPr="00475C3E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475C3E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Pr="00475C3E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="00425D5C" w:rsidRPr="00475C3E">
        <w:rPr>
          <w:rFonts w:ascii="Arial" w:hAnsi="Arial" w:cs="Arial"/>
          <w:color w:val="auto"/>
          <w:sz w:val="24"/>
          <w:szCs w:val="24"/>
        </w:rPr>
        <w:t xml:space="preserve"> (see Table 4).</w:t>
      </w:r>
    </w:p>
    <w:p w:rsidR="00425D5C" w:rsidRPr="00BF1805" w:rsidRDefault="00425D5C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551CD3" w:rsidRDefault="00425D5C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595"/>
        <w:gridCol w:w="1574"/>
        <w:gridCol w:w="2660"/>
        <w:gridCol w:w="2963"/>
      </w:tblGrid>
      <w:tr w:rsidR="0003177A" w:rsidRPr="0003177A" w:rsidTr="004414B0">
        <w:trPr>
          <w:trHeight w:val="20"/>
        </w:trPr>
        <w:tc>
          <w:tcPr>
            <w:tcW w:w="2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:rsidR="00425D5C" w:rsidRDefault="00425D5C" w:rsidP="0003177A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2304E7" w:rsidRDefault="00425D5C" w:rsidP="0003177A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144C42" w:rsidRPr="0003177A" w:rsidRDefault="00144C42" w:rsidP="0003177A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90012" w:rsidRPr="00690012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551CD3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92F1C" w:rsidRPr="00D92F1C">
        <w:rPr>
          <w:rFonts w:ascii="Arial" w:hAnsi="Arial" w:cs="Arial"/>
          <w:b/>
          <w:bCs/>
          <w:color w:val="0070C0"/>
          <w:sz w:val="24"/>
          <w:szCs w:val="24"/>
        </w:rPr>
        <w:t xml:space="preserve">1,640,190.50 </w:t>
      </w:r>
      <w:r w:rsidRPr="00551CD3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 w:rsidRPr="00551CD3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92F1C" w:rsidRPr="00D92F1C">
        <w:rPr>
          <w:rFonts w:ascii="Arial" w:hAnsi="Arial" w:cs="Arial"/>
          <w:b/>
          <w:bCs/>
          <w:color w:val="0070C0"/>
          <w:sz w:val="24"/>
          <w:szCs w:val="24"/>
        </w:rPr>
        <w:t xml:space="preserve">1,211,125.50 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E16892" w:rsidRPr="0003177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429,065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.00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from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2304E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551CD3">
        <w:rPr>
          <w:rFonts w:ascii="Arial" w:hAnsi="Arial" w:cs="Arial"/>
          <w:color w:val="auto"/>
          <w:sz w:val="24"/>
          <w:szCs w:val="24"/>
        </w:rPr>
        <w:t>5</w:t>
      </w:r>
      <w:r w:rsidRPr="00551CD3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230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763"/>
        <w:gridCol w:w="1510"/>
        <w:gridCol w:w="1335"/>
        <w:gridCol w:w="1076"/>
        <w:gridCol w:w="1606"/>
        <w:gridCol w:w="1636"/>
      </w:tblGrid>
      <w:tr w:rsidR="00B361C5" w:rsidRPr="00B361C5" w:rsidTr="00B361C5">
        <w:trPr>
          <w:trHeight w:val="20"/>
        </w:trPr>
        <w:tc>
          <w:tcPr>
            <w:tcW w:w="2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1,211,125.50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1,640,190.50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614,762.50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614,762.50 </w:t>
            </w:r>
          </w:p>
        </w:tc>
      </w:tr>
      <w:tr w:rsidR="00B361C5" w:rsidRPr="00B361C5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596,363.00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1,025,428.00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77,469.00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131,469.00 </w:t>
            </w:r>
          </w:p>
        </w:tc>
      </w:tr>
      <w:tr w:rsidR="00B361C5" w:rsidRPr="00B361C5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77,469.00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131,469.00 </w:t>
            </w:r>
          </w:p>
        </w:tc>
      </w:tr>
      <w:tr w:rsidR="00B361C5" w:rsidRPr="00B361C5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518,894.00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893,959.00 </w:t>
            </w:r>
          </w:p>
        </w:tc>
      </w:tr>
      <w:tr w:rsidR="00B361C5" w:rsidRPr="00B361C5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166,816.00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375,065.00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541,881.00 </w:t>
            </w:r>
          </w:p>
        </w:tc>
      </w:tr>
      <w:tr w:rsidR="00B361C5" w:rsidRPr="00B361C5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352,078.00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B361C5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1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352,078.00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772106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8055EC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2304E7" w:rsidRPr="008055EC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A81C78" w:rsidRPr="00D46740" w:rsidRDefault="00A81C78" w:rsidP="002304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2304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BE43F9" w:rsidRDefault="00F34EA4" w:rsidP="002304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771726" w:rsidP="007717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2304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2304E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551CD3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DSWDO-FO IX provide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 </w:t>
            </w:r>
            <w:r w:rsidR="008E0C8F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(FFPs) and sleeping k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to the displaced families who 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staying in the evacuation centers.</w:t>
            </w:r>
          </w:p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Local Government Unit </w:t>
            </w:r>
            <w:r w:rsid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(LGU) </w:t>
            </w:r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>of Zamboanga City</w:t>
            </w:r>
            <w:r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food packs and kitchen utensils to the affected families.</w:t>
            </w:r>
          </w:p>
          <w:p w:rsidR="00231BB6" w:rsidRPr="001E1BBA" w:rsidRDefault="00454DDD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through the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se Management Division staff was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coordinating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CSWDO of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Zamboanga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City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551CD3">
        <w:trPr>
          <w:trHeight w:val="30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03177A" w:rsidRDefault="001E1BBA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03177A" w:rsidRDefault="0056674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conducted Rapid Assessment to the affected families and communities.</w:t>
            </w:r>
          </w:p>
          <w:p w:rsidR="001E1BBA" w:rsidRPr="0003177A" w:rsidRDefault="001E1BBA" w:rsidP="00495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4958B8">
              <w:rPr>
                <w:rFonts w:ascii="Arial" w:eastAsia="Arial" w:hAnsi="Arial" w:cs="Arial"/>
                <w:color w:val="auto"/>
                <w:sz w:val="20"/>
                <w:szCs w:val="24"/>
              </w:rPr>
              <w:t>ly coordinated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Office of the Civil Defense (OCD) XI and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CSWDO of Davao City for 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relevant updates and 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possible augmentation support.</w:t>
            </w: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1E1BBA" w:rsidRDefault="001E1BBA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B3E12" w:rsidRDefault="00454DDD" w:rsidP="005B3E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1748E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F579C5" w:rsidRPr="005B3E12">
              <w:rPr>
                <w:rFonts w:ascii="Arial" w:eastAsia="Arial" w:hAnsi="Arial" w:cs="Arial"/>
                <w:color w:val="0070C0"/>
                <w:sz w:val="20"/>
                <w:szCs w:val="24"/>
              </w:rPr>
              <w:t>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1CA3" w:rsidRDefault="00B11CA3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a total of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3C4C82">
              <w:rPr>
                <w:rFonts w:ascii="Arial" w:eastAsia="Arial" w:hAnsi="Arial" w:cs="Arial"/>
                <w:color w:val="0070C0"/>
                <w:sz w:val="20"/>
                <w:szCs w:val="24"/>
              </w:rPr>
              <w:t>596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4C82">
              <w:rPr>
                <w:rFonts w:ascii="Arial" w:eastAsia="Arial" w:hAnsi="Arial" w:cs="Arial"/>
                <w:color w:val="0070C0"/>
                <w:sz w:val="20"/>
                <w:szCs w:val="24"/>
              </w:rPr>
              <w:t>363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.00 worth of assistance; of which, 1</w:t>
            </w:r>
            <w:r w:rsidR="003C4C82">
              <w:rPr>
                <w:rFonts w:ascii="Arial" w:eastAsia="Arial" w:hAnsi="Arial" w:cs="Arial"/>
                <w:color w:val="0070C0"/>
                <w:sz w:val="20"/>
                <w:szCs w:val="24"/>
              </w:rPr>
              <w:t>,413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amounting to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3C4C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566,613.00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119 plastic mats worth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29,750.00 were provided to the affected families. </w:t>
            </w:r>
          </w:p>
          <w:p w:rsidR="00B07CCF" w:rsidRPr="0003177A" w:rsidRDefault="00551CD3" w:rsidP="00583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58388D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B07CCF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the CSWD</w:t>
            </w:r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>O of General Santos City</w:t>
            </w:r>
            <w:r w:rsidR="00772106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MSWDO of </w:t>
            </w:r>
            <w:proofErr w:type="spellStart"/>
            <w:r w:rsidR="00772106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>Kalamansig</w:t>
            </w:r>
            <w:proofErr w:type="spellEnd"/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 w:rsidR="00B07CCF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</w:t>
            </w:r>
            <w:r w:rsidR="00816F86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support. </w:t>
            </w:r>
          </w:p>
        </w:tc>
      </w:tr>
    </w:tbl>
    <w:p w:rsidR="00DD053F" w:rsidRDefault="00DD053F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2304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2304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551CD3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</w:t>
      </w:r>
      <w:r w:rsidR="00567F0F">
        <w:rPr>
          <w:rFonts w:ascii="Arial" w:eastAsia="Arial" w:hAnsi="Arial" w:cs="Arial"/>
          <w:b/>
          <w:sz w:val="24"/>
          <w:szCs w:val="24"/>
        </w:rPr>
        <w:t>L B. FERRARIZ</w:t>
      </w: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567F0F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31F0A" w:rsidRPr="00BE43F9" w:rsidRDefault="003D09A9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  <w:bookmarkStart w:id="8" w:name="_GoBack"/>
      <w:bookmarkEnd w:id="8"/>
    </w:p>
    <w:sectPr w:rsidR="00F31F0A" w:rsidRPr="00BE43F9" w:rsidSect="002304E7">
      <w:headerReference w:type="default" r:id="rId8"/>
      <w:footerReference w:type="default" r:id="rId9"/>
      <w:pgSz w:w="16839" w:h="11907" w:orient="landscape" w:code="9"/>
      <w:pgMar w:top="1134" w:right="737" w:bottom="720" w:left="737" w:header="284" w:footer="28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F4" w:rsidRDefault="00B64BF4">
      <w:pPr>
        <w:spacing w:after="0" w:line="240" w:lineRule="auto"/>
      </w:pPr>
      <w:r>
        <w:separator/>
      </w:r>
    </w:p>
  </w:endnote>
  <w:endnote w:type="continuationSeparator" w:id="0">
    <w:p w:rsidR="00B64BF4" w:rsidRDefault="00B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0" w:rsidRDefault="004414B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4414B0" w:rsidRDefault="004414B0" w:rsidP="00196E7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4DD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4DD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196E7E">
      <w:rPr>
        <w:rFonts w:ascii="Arial" w:eastAsia="Arial" w:hAnsi="Arial" w:cs="Arial"/>
        <w:sz w:val="16"/>
        <w:szCs w:val="16"/>
      </w:rPr>
      <w:t>DSWD DROM</w:t>
    </w:r>
    <w:r>
      <w:rPr>
        <w:rFonts w:ascii="Arial" w:eastAsia="Arial" w:hAnsi="Arial" w:cs="Arial"/>
        <w:sz w:val="16"/>
        <w:szCs w:val="16"/>
      </w:rPr>
      <w:t xml:space="preserve">IC Report #7 on the Effects of </w:t>
    </w:r>
    <w:r w:rsidRPr="00196E7E">
      <w:rPr>
        <w:rFonts w:ascii="Arial" w:eastAsia="Arial" w:hAnsi="Arial" w:cs="Arial"/>
        <w:sz w:val="16"/>
        <w:szCs w:val="16"/>
      </w:rPr>
      <w:t>Southwest M</w:t>
    </w:r>
    <w:r>
      <w:rPr>
        <w:rFonts w:ascii="Arial" w:eastAsia="Arial" w:hAnsi="Arial" w:cs="Arial"/>
        <w:sz w:val="16"/>
        <w:szCs w:val="16"/>
      </w:rPr>
      <w:t xml:space="preserve">onsoon Enhanced by TD “MARILYN” </w:t>
    </w:r>
    <w:r w:rsidRPr="00196E7E">
      <w:rPr>
        <w:rFonts w:ascii="Arial" w:eastAsia="Arial" w:hAnsi="Arial" w:cs="Arial"/>
        <w:sz w:val="16"/>
        <w:szCs w:val="16"/>
      </w:rPr>
      <w:t>as of 01 October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F4" w:rsidRDefault="00B64BF4">
      <w:pPr>
        <w:spacing w:after="0" w:line="240" w:lineRule="auto"/>
      </w:pPr>
      <w:r>
        <w:separator/>
      </w:r>
    </w:p>
  </w:footnote>
  <w:footnote w:type="continuationSeparator" w:id="0">
    <w:p w:rsidR="00B64BF4" w:rsidRDefault="00B6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0" w:rsidRDefault="004414B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4B0" w:rsidRDefault="004414B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14B0" w:rsidRDefault="004414B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414B0" w:rsidRDefault="004414B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8A1A17"/>
    <w:multiLevelType w:val="hybridMultilevel"/>
    <w:tmpl w:val="1AEC19F2"/>
    <w:lvl w:ilvl="0" w:tplc="20D011A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"/>
  </w:num>
  <w:num w:numId="5">
    <w:abstractNumId w:val="34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7"/>
  </w:num>
  <w:num w:numId="11">
    <w:abstractNumId w:val="17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1"/>
  </w:num>
  <w:num w:numId="23">
    <w:abstractNumId w:val="29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5"/>
  </w:num>
  <w:num w:numId="33">
    <w:abstractNumId w:val="28"/>
  </w:num>
  <w:num w:numId="34">
    <w:abstractNumId w:val="20"/>
  </w:num>
  <w:num w:numId="35">
    <w:abstractNumId w:val="36"/>
  </w:num>
  <w:num w:numId="36">
    <w:abstractNumId w:val="38"/>
  </w:num>
  <w:num w:numId="37">
    <w:abstractNumId w:val="33"/>
  </w:num>
  <w:num w:numId="38">
    <w:abstractNumId w:val="11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177A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52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44C42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8E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6E7E"/>
    <w:rsid w:val="00197C40"/>
    <w:rsid w:val="001A04A3"/>
    <w:rsid w:val="001A24E5"/>
    <w:rsid w:val="001A5783"/>
    <w:rsid w:val="001B707B"/>
    <w:rsid w:val="001C1FD4"/>
    <w:rsid w:val="001C3B2D"/>
    <w:rsid w:val="001D01A8"/>
    <w:rsid w:val="001E08FA"/>
    <w:rsid w:val="001E09E8"/>
    <w:rsid w:val="001E1043"/>
    <w:rsid w:val="001E1BBA"/>
    <w:rsid w:val="001E26B4"/>
    <w:rsid w:val="001E62BB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15766"/>
    <w:rsid w:val="00220314"/>
    <w:rsid w:val="002233C1"/>
    <w:rsid w:val="00223D7C"/>
    <w:rsid w:val="00224A0B"/>
    <w:rsid w:val="002259E1"/>
    <w:rsid w:val="002304E7"/>
    <w:rsid w:val="00231BB6"/>
    <w:rsid w:val="002338D6"/>
    <w:rsid w:val="00235815"/>
    <w:rsid w:val="00243922"/>
    <w:rsid w:val="0024676B"/>
    <w:rsid w:val="00250A39"/>
    <w:rsid w:val="00251556"/>
    <w:rsid w:val="00252A46"/>
    <w:rsid w:val="00253F80"/>
    <w:rsid w:val="002541B5"/>
    <w:rsid w:val="002550AB"/>
    <w:rsid w:val="00261033"/>
    <w:rsid w:val="00265D5C"/>
    <w:rsid w:val="00265DF5"/>
    <w:rsid w:val="00266F30"/>
    <w:rsid w:val="0027307D"/>
    <w:rsid w:val="0027329E"/>
    <w:rsid w:val="00274B00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4986"/>
    <w:rsid w:val="002A599A"/>
    <w:rsid w:val="002A731A"/>
    <w:rsid w:val="002B045E"/>
    <w:rsid w:val="002B1718"/>
    <w:rsid w:val="002B2EC9"/>
    <w:rsid w:val="002B58D3"/>
    <w:rsid w:val="002C1E7D"/>
    <w:rsid w:val="002C224F"/>
    <w:rsid w:val="002D0802"/>
    <w:rsid w:val="002D3418"/>
    <w:rsid w:val="002E25AE"/>
    <w:rsid w:val="002F0FA9"/>
    <w:rsid w:val="002F416A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4C82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14B0"/>
    <w:rsid w:val="0044371B"/>
    <w:rsid w:val="00446AAF"/>
    <w:rsid w:val="00446D5E"/>
    <w:rsid w:val="00447043"/>
    <w:rsid w:val="00447EB9"/>
    <w:rsid w:val="0045417C"/>
    <w:rsid w:val="00454DDD"/>
    <w:rsid w:val="00454E8A"/>
    <w:rsid w:val="004567C6"/>
    <w:rsid w:val="00456B0E"/>
    <w:rsid w:val="00460385"/>
    <w:rsid w:val="00460779"/>
    <w:rsid w:val="0046391D"/>
    <w:rsid w:val="00475C3E"/>
    <w:rsid w:val="004801A8"/>
    <w:rsid w:val="004808D9"/>
    <w:rsid w:val="00485FAA"/>
    <w:rsid w:val="004867BA"/>
    <w:rsid w:val="00490703"/>
    <w:rsid w:val="00495369"/>
    <w:rsid w:val="004958B8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1CD3"/>
    <w:rsid w:val="00557D52"/>
    <w:rsid w:val="00560096"/>
    <w:rsid w:val="005613EE"/>
    <w:rsid w:val="00563741"/>
    <w:rsid w:val="0056425D"/>
    <w:rsid w:val="00566746"/>
    <w:rsid w:val="005670D1"/>
    <w:rsid w:val="005675AA"/>
    <w:rsid w:val="00567F0F"/>
    <w:rsid w:val="0057684A"/>
    <w:rsid w:val="00580432"/>
    <w:rsid w:val="0058388D"/>
    <w:rsid w:val="00583D8D"/>
    <w:rsid w:val="0059459E"/>
    <w:rsid w:val="00594DB7"/>
    <w:rsid w:val="005A4EFD"/>
    <w:rsid w:val="005B386A"/>
    <w:rsid w:val="005B3E12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17026"/>
    <w:rsid w:val="00724F05"/>
    <w:rsid w:val="00725D9A"/>
    <w:rsid w:val="0072662D"/>
    <w:rsid w:val="0072780E"/>
    <w:rsid w:val="0073497C"/>
    <w:rsid w:val="007412EE"/>
    <w:rsid w:val="00742851"/>
    <w:rsid w:val="0074516B"/>
    <w:rsid w:val="00752F0C"/>
    <w:rsid w:val="007567CA"/>
    <w:rsid w:val="007650E4"/>
    <w:rsid w:val="00765540"/>
    <w:rsid w:val="00765610"/>
    <w:rsid w:val="00771726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10CA"/>
    <w:rsid w:val="007D613E"/>
    <w:rsid w:val="007D707B"/>
    <w:rsid w:val="007D7DBE"/>
    <w:rsid w:val="007E1ED0"/>
    <w:rsid w:val="007F2FAD"/>
    <w:rsid w:val="00802BDE"/>
    <w:rsid w:val="00803E68"/>
    <w:rsid w:val="0080446A"/>
    <w:rsid w:val="008055EC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2783"/>
    <w:rsid w:val="00885E31"/>
    <w:rsid w:val="0089447F"/>
    <w:rsid w:val="0089720A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220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1B2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5DA6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1CA3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1C5"/>
    <w:rsid w:val="00B505E4"/>
    <w:rsid w:val="00B571E4"/>
    <w:rsid w:val="00B62D76"/>
    <w:rsid w:val="00B6304C"/>
    <w:rsid w:val="00B64BF4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01C0"/>
    <w:rsid w:val="00C266E8"/>
    <w:rsid w:val="00C30653"/>
    <w:rsid w:val="00C33267"/>
    <w:rsid w:val="00C33BEB"/>
    <w:rsid w:val="00C36108"/>
    <w:rsid w:val="00C375E0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07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1C3D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0291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0446"/>
    <w:rsid w:val="00D91E9B"/>
    <w:rsid w:val="00D92F1C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53F"/>
    <w:rsid w:val="00DD60C5"/>
    <w:rsid w:val="00DE1846"/>
    <w:rsid w:val="00DE2C1A"/>
    <w:rsid w:val="00DE3688"/>
    <w:rsid w:val="00DE49E3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23DD"/>
    <w:rsid w:val="00EA6B39"/>
    <w:rsid w:val="00EB3223"/>
    <w:rsid w:val="00EB32AD"/>
    <w:rsid w:val="00EB48F7"/>
    <w:rsid w:val="00EB69B8"/>
    <w:rsid w:val="00EB6DE0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395B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57A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FD22-DB6C-4D8E-8569-FFD6F7C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4</cp:revision>
  <dcterms:created xsi:type="dcterms:W3CDTF">2019-10-01T05:20:00Z</dcterms:created>
  <dcterms:modified xsi:type="dcterms:W3CDTF">2019-10-01T05:44:00Z</dcterms:modified>
</cp:coreProperties>
</file>