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7777777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826EC" w:rsidRPr="000F55EC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r>
        <w:rPr>
          <w:rFonts w:ascii="Arial" w:eastAsia="Arial" w:hAnsi="Arial" w:cs="Arial"/>
          <w:b/>
          <w:sz w:val="32"/>
          <w:szCs w:val="24"/>
        </w:rPr>
        <w:t>Bukidnon</w:t>
      </w:r>
    </w:p>
    <w:p w14:paraId="24E47358" w14:textId="3FC01B4D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20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 xml:space="preserve">Kadingilan, Bukidnon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Bukidnon.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Kadingilan, Kalilangan, Don Carlos, Maramag, Kitaotao and San Fernando, Bukidnon</w:t>
            </w:r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Damulog, Talakag and Valencia City, Bukidnon; Midsayap, Cotabato; Kidapawan</w:t>
            </w:r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City; Marawi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Impasugong and Malaybalay, Bukidnon; Malungon, Sarangani; Antipas, Cotabato,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Rosario, Agusan Del Sur; Cotabato City; Davao City; Koronadal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Malitbog, Bukidnon; Tupi, South Cotabato; Manticao, Misamis Oriental; Tubod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Bacolod, Lanao Del Norte; Alabel, Sarangani; Gingoog City; Pagadian City; Iligan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Polomolok, Lake Sebu and Tampakan, South Cotabato; Kiamba, Sarangani;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Mambajao, Camiguin; Sindangan and Polanco, Zamboanga Del Norte; Molave,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Sur; Dipolog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Cagayan De Oro City; Kidapawan City; Koronadal City; Malungon, Sarangani</w:t>
            </w:r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Gingoog City; Davao City; Tupi, South Cotabato; Alabel, Sarangani</w:t>
            </w:r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Kiamba, Sarangani;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Zamboanga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487C530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>A total of</w:t>
      </w:r>
      <w:r w:rsidRPr="006D5D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501</w:t>
      </w:r>
      <w:r w:rsidRPr="007E1C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6D5DF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sz w:val="24"/>
          <w:szCs w:val="24"/>
        </w:rPr>
        <w:t xml:space="preserve">or 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2,177 </w:t>
      </w:r>
      <w:r w:rsidRPr="006D5DF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6D5DFC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 barangays </w:t>
      </w:r>
      <w:r w:rsidRPr="006D5DFC">
        <w:rPr>
          <w:rFonts w:ascii="Arial" w:eastAsia="Times New Roman" w:hAnsi="Arial" w:cs="Arial"/>
          <w:sz w:val="24"/>
          <w:szCs w:val="24"/>
        </w:rPr>
        <w:t xml:space="preserve">in </w:t>
      </w:r>
      <w:r w:rsidRPr="00DC42E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4"/>
        <w:gridCol w:w="1573"/>
        <w:gridCol w:w="1452"/>
        <w:gridCol w:w="1448"/>
      </w:tblGrid>
      <w:tr w:rsidR="00DC42EF" w:rsidRPr="002F687C" w14:paraId="5373696D" w14:textId="77777777" w:rsidTr="00DC42EF">
        <w:trPr>
          <w:trHeight w:val="20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A5E4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E88E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C42EF" w:rsidRPr="002F687C" w14:paraId="247909FA" w14:textId="77777777" w:rsidTr="00DC42EF">
        <w:trPr>
          <w:trHeight w:val="2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3BB0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9AEA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1E3E4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7658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F687C" w:rsidRPr="002F687C" w14:paraId="6E4960C4" w14:textId="77777777" w:rsidTr="00DC42EF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7F2F2" w14:textId="77777777" w:rsidR="00DC42EF" w:rsidRPr="002F687C" w:rsidRDefault="00DC42EF" w:rsidP="00DC42E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2D98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E77A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501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A0332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2,177 </w:t>
            </w:r>
          </w:p>
        </w:tc>
      </w:tr>
      <w:tr w:rsidR="002F687C" w:rsidRPr="002F687C" w14:paraId="5CA4CCC8" w14:textId="77777777" w:rsidTr="00DC42EF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239C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DA6F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A817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501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7D68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2,177 </w:t>
            </w:r>
          </w:p>
        </w:tc>
      </w:tr>
      <w:tr w:rsidR="002F687C" w:rsidRPr="002F687C" w14:paraId="1D07B8BB" w14:textId="77777777" w:rsidTr="00DC42EF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0F1DE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BA9FC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2EAB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501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C355B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2,177 </w:t>
            </w:r>
          </w:p>
        </w:tc>
      </w:tr>
      <w:tr w:rsidR="00DC42EF" w:rsidRPr="002F687C" w14:paraId="0FC5A90D" w14:textId="77777777" w:rsidTr="00DC42E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9B26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EA01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0031A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D502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66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FA263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330 </w:t>
            </w:r>
          </w:p>
        </w:tc>
      </w:tr>
      <w:tr w:rsidR="00DC42EF" w:rsidRPr="002F687C" w14:paraId="72E7DDC5" w14:textId="77777777" w:rsidTr="00DC42E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1F95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5207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A812E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82C0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164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6CCB3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492 </w:t>
            </w:r>
          </w:p>
        </w:tc>
      </w:tr>
      <w:tr w:rsidR="00DC42EF" w:rsidRPr="002F687C" w14:paraId="360ACE34" w14:textId="77777777" w:rsidTr="00DC42E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BA63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2507E" w14:textId="77777777" w:rsidR="00DC42EF" w:rsidRPr="002F687C" w:rsidRDefault="00DC42EF" w:rsidP="00DC42E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6B42A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030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271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DC5D" w14:textId="77777777" w:rsidR="00DC42EF" w:rsidRPr="002F687C" w:rsidRDefault="00DC42EF" w:rsidP="00DC42E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1,355 </w:t>
            </w:r>
          </w:p>
        </w:tc>
      </w:tr>
    </w:tbl>
    <w:p w14:paraId="471A24B0" w14:textId="77777777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2AE5E630" w14:textId="77777777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360EFC07" w14:textId="77777777" w:rsidR="00523D05" w:rsidRPr="00523D05" w:rsidRDefault="00DC42EF" w:rsidP="00523D05">
      <w:pPr>
        <w:pStyle w:val="ListParagraph"/>
        <w:numPr>
          <w:ilvl w:val="0"/>
          <w:numId w:val="6"/>
        </w:numPr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641546" w14:textId="77777777" w:rsid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  <w:r w:rsidRPr="00523D05">
        <w:rPr>
          <w:rFonts w:ascii="Arial" w:eastAsia="Times New Roman" w:hAnsi="Arial" w:cs="Arial"/>
          <w:bCs/>
          <w:sz w:val="24"/>
          <w:szCs w:val="24"/>
        </w:rPr>
        <w:t>There are</w:t>
      </w:r>
      <w:r w:rsidRPr="00523D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F687C"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>164</w:t>
      </w:r>
      <w:r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523D0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 xml:space="preserve">or </w:t>
      </w:r>
      <w:r w:rsidR="002F687C"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>492</w:t>
      </w:r>
      <w:r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23D0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 xml:space="preserve">taking temporary shelter in </w:t>
      </w:r>
      <w:r w:rsidR="002F687C" w:rsidRPr="00523D0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Don Carlos Gymnasium </w:t>
      </w:r>
      <w:r w:rsidRPr="00523D05">
        <w:rPr>
          <w:rFonts w:ascii="Arial" w:eastAsia="Times New Roman" w:hAnsi="Arial" w:cs="Arial"/>
          <w:sz w:val="24"/>
          <w:szCs w:val="24"/>
        </w:rPr>
        <w:t xml:space="preserve">in </w:t>
      </w:r>
      <w:r w:rsidR="00523D0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Don Carlos, Bukidnon </w:t>
      </w:r>
      <w:r w:rsidRPr="00523D05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23D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561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263"/>
        <w:gridCol w:w="995"/>
        <w:gridCol w:w="1133"/>
        <w:gridCol w:w="1133"/>
        <w:gridCol w:w="1137"/>
        <w:gridCol w:w="997"/>
        <w:gridCol w:w="1076"/>
      </w:tblGrid>
      <w:tr w:rsidR="002F687C" w:rsidRPr="002F687C" w14:paraId="183AEAA5" w14:textId="77777777" w:rsidTr="00523D05">
        <w:trPr>
          <w:trHeight w:val="20"/>
        </w:trPr>
        <w:tc>
          <w:tcPr>
            <w:tcW w:w="1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86C6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A1221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384E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F687C" w:rsidRPr="002F687C" w14:paraId="1A862123" w14:textId="77777777" w:rsidTr="00523D05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B68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18DA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3564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F687C" w:rsidRPr="002F687C" w14:paraId="2BDDBE5F" w14:textId="77777777" w:rsidTr="00523D05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D18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8019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F268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69E2" w14:textId="1CAB2EEA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F687C" w:rsidRPr="002F687C" w14:paraId="2A1F1562" w14:textId="77777777" w:rsidTr="00523D05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0FFC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2FB4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01A8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47C5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442E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7CF7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6EAEB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F687C" w:rsidRPr="002F687C" w14:paraId="24A4601D" w14:textId="77777777" w:rsidTr="00523D05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CFB4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5ED0F" w14:textId="00B2C111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028F" w14:textId="0D0B1583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04F0" w14:textId="5546B624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2EA0" w14:textId="0BEA1439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75E3" w14:textId="319CD906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3D0F" w14:textId="0C7B5F20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2F687C" w:rsidRPr="002F687C" w14:paraId="3E7DD56C" w14:textId="77777777" w:rsidTr="00523D05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EF28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EBB55" w14:textId="41439F40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571A4" w14:textId="76A43E89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582D" w14:textId="6639D27D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487A5" w14:textId="2AF78EDA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A1DA" w14:textId="64169E44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0B07" w14:textId="4AA7FF54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2F687C" w:rsidRPr="002F687C" w14:paraId="4C898432" w14:textId="77777777" w:rsidTr="00523D05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6DD1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E61C" w14:textId="36014F20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8B53" w14:textId="114385AB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3D01C" w14:textId="00C1CF22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39DA9" w14:textId="58CF4381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42DEA" w14:textId="7B6BF8D4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25BD3" w14:textId="106ED8CA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2F687C" w:rsidRPr="002F687C" w14:paraId="0ADB2849" w14:textId="77777777" w:rsidTr="00523D05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4423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C19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38824" w14:textId="703C386E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A9A54" w14:textId="6133C93D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6CC5" w14:textId="599FDEA6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9CC2" w14:textId="1836E2BD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7421" w14:textId="12428C85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CB90" w14:textId="7B47BD4B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</w:tr>
    </w:tbl>
    <w:p w14:paraId="4C661B5F" w14:textId="77777777" w:rsidR="002F687C" w:rsidRDefault="002F687C" w:rsidP="00523D05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0434F085" w14:textId="77777777" w:rsidR="002F687C" w:rsidRPr="006D5DFC" w:rsidRDefault="002F687C" w:rsidP="002F687C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2763FF3F" w14:textId="77777777" w:rsidR="00523D05" w:rsidRPr="00523D05" w:rsidRDefault="00523D05" w:rsidP="00523D05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688D16DD" w:rsidR="00DC42EF" w:rsidRPr="00B060DE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060DE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2F687C">
        <w:rPr>
          <w:rFonts w:ascii="Arial" w:eastAsia="Times New Roman" w:hAnsi="Arial" w:cs="Arial"/>
          <w:b/>
          <w:bCs/>
          <w:color w:val="0070C0"/>
          <w:sz w:val="24"/>
          <w:szCs w:val="24"/>
        </w:rPr>
        <w:t>271</w:t>
      </w:r>
      <w:r w:rsidRPr="004C122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B060DE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2F687C">
        <w:rPr>
          <w:rFonts w:ascii="Arial" w:eastAsia="Times New Roman" w:hAnsi="Arial" w:cs="Arial"/>
          <w:b/>
          <w:bCs/>
          <w:color w:val="0070C0"/>
          <w:sz w:val="24"/>
          <w:szCs w:val="24"/>
        </w:rPr>
        <w:t>37</w:t>
      </w:r>
      <w:r w:rsidRPr="004C122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D19A7">
        <w:rPr>
          <w:rFonts w:ascii="Arial" w:eastAsia="Times New Roman" w:hAnsi="Arial" w:cs="Arial"/>
          <w:bCs/>
          <w:color w:val="000000"/>
          <w:sz w:val="24"/>
          <w:szCs w:val="24"/>
        </w:rPr>
        <w:t>are</w:t>
      </w:r>
      <w:r w:rsidRPr="004C122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4C122B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B060DE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2F687C">
        <w:rPr>
          <w:rFonts w:ascii="Arial" w:eastAsia="Times New Roman" w:hAnsi="Arial" w:cs="Arial"/>
          <w:b/>
          <w:bCs/>
          <w:color w:val="0070C0"/>
          <w:sz w:val="24"/>
          <w:szCs w:val="24"/>
        </w:rPr>
        <w:t>234</w:t>
      </w:r>
      <w:r w:rsidRPr="00701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060DE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4C122B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7013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060DE">
        <w:rPr>
          <w:rFonts w:ascii="Arial" w:eastAsia="Times New Roman" w:hAnsi="Arial" w:cs="Arial"/>
          <w:bCs/>
          <w:sz w:val="24"/>
          <w:szCs w:val="24"/>
        </w:rPr>
        <w:t>(see Table 4).</w:t>
      </w:r>
    </w:p>
    <w:p w14:paraId="292F517D" w14:textId="77777777" w:rsidR="00DC42EF" w:rsidRPr="00B060DE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7777777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94"/>
        <w:gridCol w:w="2127"/>
        <w:gridCol w:w="2127"/>
        <w:gridCol w:w="2124"/>
      </w:tblGrid>
      <w:tr w:rsidR="002F687C" w:rsidRPr="002F687C" w14:paraId="36166570" w14:textId="77777777" w:rsidTr="002F687C">
        <w:trPr>
          <w:trHeight w:val="20"/>
        </w:trPr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7857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A002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F687C" w:rsidRPr="002F687C" w14:paraId="4D3501EA" w14:textId="77777777" w:rsidTr="002F687C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029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5253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F56C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FDB6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F687C" w:rsidRPr="002F687C" w14:paraId="67CAA06D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985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6FA0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1B9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B70F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1DCFEC5C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579A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9F4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B1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6E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79EAAE2E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3C7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9B0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3E23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11D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6F525234" w14:textId="77777777" w:rsidTr="002F687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1572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7E45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FE5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872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A43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</w:tbl>
    <w:p w14:paraId="5C82ECFC" w14:textId="4713BD0E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for the partially and totally damaged houses in Dangcagan, Bukidnon.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795A0DC1" w14:textId="77777777" w:rsidR="002F687C" w:rsidRPr="006D5DFC" w:rsidRDefault="002F687C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3D5BB201" w14:textId="77777777" w:rsidR="00DC42EF" w:rsidRPr="00F9423F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75FA979D" w14:textId="2DF69806" w:rsidR="00A01FA9" w:rsidRPr="000F55EC" w:rsidRDefault="00D3452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  <w:r w:rsidR="00C46A8D"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F04282" w:rsidRPr="0072727D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15EA1BB2" w:rsidR="00F04282" w:rsidRPr="00DC42EF" w:rsidRDefault="00DC42EF" w:rsidP="00DC42EF">
            <w:pPr>
              <w:ind w:right="0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20 </w:t>
            </w:r>
            <w:r w:rsidR="00755D29" w:rsidRPr="00DC42E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November </w:t>
            </w:r>
            <w:r w:rsidR="00F04282" w:rsidRPr="00DC42E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72727D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he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Manageme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Bureau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(DRMB)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9261F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is </w:t>
            </w:r>
            <w:r w:rsidR="00D34524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closely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E82AE7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coordinating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with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D34524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X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for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significant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updates.</w:t>
            </w:r>
          </w:p>
          <w:p w14:paraId="4424FE87" w14:textId="77777777" w:rsidR="00656C36" w:rsidRDefault="00656C36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QRT members and emergency equipment are on standby and ready for deployment.</w:t>
            </w:r>
          </w:p>
          <w:p w14:paraId="5D34C4E1" w14:textId="6D48388F" w:rsidR="0076300F" w:rsidRPr="0072727D" w:rsidRDefault="0076300F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DRMB-DROMIC Operations Center is on </w:t>
            </w:r>
            <w:r w:rsidR="00755D29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 ALERT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1017B1" w:rsidRPr="0072727D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5927E2D2" w:rsidR="001017B1" w:rsidRPr="00DC42EF" w:rsidRDefault="00DC42EF" w:rsidP="00DC42EF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20 </w:t>
            </w:r>
            <w:r w:rsidR="00F8756A" w:rsidRPr="00DC42E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5C562DC3" w14:textId="47247589" w:rsidR="00F8756A" w:rsidRDefault="00F8756A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 through the Disaster Response Management Division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DRMD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headed by the Division Chief and four of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the Field Office staff went to the area for a Damage Assessment and Needs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Analysis.</w:t>
            </w:r>
          </w:p>
          <w:p w14:paraId="61171A40" w14:textId="111671DE" w:rsidR="001E433D" w:rsidRPr="00F8756A" w:rsidRDefault="00F8756A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 is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in constan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 monitoring with the situation on the ground and is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in close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coordination with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the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respective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Provincial/City/Municipal/Local Disaster Risk Reduction and Management Offices (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P/C/M/LDRRMOs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and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Social Welfare and Development </w:t>
            </w:r>
            <w:r w:rsidR="00D34524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Team Leader (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SWADTL</w:t>
            </w:r>
            <w:r w:rsidR="00D34524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of each province in the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region.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00F220AD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755D29">
        <w:rPr>
          <w:rFonts w:ascii="Arial" w:eastAsia="Arial" w:hAnsi="Arial" w:cs="Arial"/>
          <w:i/>
          <w:sz w:val="16"/>
          <w:szCs w:val="24"/>
        </w:rPr>
        <w:t xml:space="preserve">DSWD Field Offices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  <w:bookmarkStart w:id="3" w:name="_GoBack"/>
      <w:bookmarkEnd w:id="3"/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78B384D8" w:rsidR="008E4F34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1B1EF83B" w:rsidR="00BF3197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 LEO L. BUTAC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FC5C" w14:textId="77777777" w:rsidR="00704392" w:rsidRDefault="00704392">
      <w:r>
        <w:separator/>
      </w:r>
    </w:p>
  </w:endnote>
  <w:endnote w:type="continuationSeparator" w:id="0">
    <w:p w14:paraId="4BF73260" w14:textId="77777777" w:rsidR="00704392" w:rsidRDefault="007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3E85A2E9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2359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2359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B21B72">
      <w:rPr>
        <w:rFonts w:ascii="Arial" w:eastAsia="Arial" w:hAnsi="Arial" w:cs="Arial"/>
        <w:sz w:val="14"/>
        <w:szCs w:val="14"/>
      </w:rPr>
      <w:t>Report #1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5464C8">
      <w:rPr>
        <w:rFonts w:ascii="Arial" w:eastAsia="Arial" w:hAnsi="Arial" w:cs="Arial"/>
        <w:sz w:val="14"/>
        <w:szCs w:val="14"/>
      </w:rPr>
      <w:t>Mw 5.9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5464C8" w:rsidRPr="005464C8">
      <w:rPr>
        <w:rFonts w:ascii="Arial" w:eastAsia="Arial" w:hAnsi="Arial" w:cs="Arial"/>
        <w:sz w:val="14"/>
        <w:szCs w:val="14"/>
      </w:rPr>
      <w:t xml:space="preserve">Kadingilan, Bukidnon </w:t>
    </w:r>
    <w:r w:rsidR="003F7E3F">
      <w:rPr>
        <w:rFonts w:ascii="Arial" w:eastAsia="Arial" w:hAnsi="Arial" w:cs="Arial"/>
        <w:sz w:val="14"/>
        <w:szCs w:val="14"/>
      </w:rPr>
      <w:t xml:space="preserve">as of </w:t>
    </w:r>
    <w:r w:rsidR="00137D67">
      <w:rPr>
        <w:rFonts w:ascii="Arial" w:eastAsia="Arial" w:hAnsi="Arial" w:cs="Arial"/>
        <w:sz w:val="14"/>
        <w:szCs w:val="14"/>
      </w:rPr>
      <w:t>20</w:t>
    </w:r>
    <w:r w:rsidR="003F7E3F">
      <w:rPr>
        <w:rFonts w:ascii="Arial" w:eastAsia="Arial" w:hAnsi="Arial" w:cs="Arial"/>
        <w:sz w:val="14"/>
        <w:szCs w:val="14"/>
      </w:rPr>
      <w:t xml:space="preserve"> Novem</w:t>
    </w:r>
    <w:r w:rsidR="00B21B72">
      <w:rPr>
        <w:rFonts w:ascii="Arial" w:eastAsia="Arial" w:hAnsi="Arial" w:cs="Arial"/>
        <w:sz w:val="14"/>
        <w:szCs w:val="14"/>
      </w:rPr>
      <w:t>ber</w:t>
    </w:r>
    <w:r w:rsidR="00137D67">
      <w:rPr>
        <w:rFonts w:ascii="Arial" w:eastAsia="Arial" w:hAnsi="Arial" w:cs="Arial"/>
        <w:sz w:val="14"/>
        <w:szCs w:val="14"/>
      </w:rPr>
      <w:t xml:space="preserve"> 2019, 6P</w:t>
    </w:r>
    <w:r w:rsidRPr="005C5AE1">
      <w:rPr>
        <w:rFonts w:ascii="Arial" w:eastAsia="Arial" w:hAnsi="Arial" w:cs="Arial"/>
        <w:sz w:val="14"/>
        <w:szCs w:val="14"/>
      </w:rPr>
      <w:t>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9946" w14:textId="77777777" w:rsidR="00704392" w:rsidRDefault="00704392">
      <w:r>
        <w:separator/>
      </w:r>
    </w:p>
  </w:footnote>
  <w:footnote w:type="continuationSeparator" w:id="0">
    <w:p w14:paraId="2CE34A31" w14:textId="77777777" w:rsidR="00704392" w:rsidRDefault="0070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372BE"/>
    <w:rsid w:val="00246CDF"/>
    <w:rsid w:val="00250D5A"/>
    <w:rsid w:val="00251C9C"/>
    <w:rsid w:val="00276F61"/>
    <w:rsid w:val="00282674"/>
    <w:rsid w:val="002851FF"/>
    <w:rsid w:val="00293CD5"/>
    <w:rsid w:val="00295003"/>
    <w:rsid w:val="00295B97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3452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BCE4-F525-44FB-8157-D054D55B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11</cp:revision>
  <cp:lastPrinted>2019-04-24T18:30:00Z</cp:lastPrinted>
  <dcterms:created xsi:type="dcterms:W3CDTF">2019-11-19T01:40:00Z</dcterms:created>
  <dcterms:modified xsi:type="dcterms:W3CDTF">2019-11-20T09:20:00Z</dcterms:modified>
</cp:coreProperties>
</file>