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843A4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843A4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C60ED">
        <w:rPr>
          <w:rFonts w:ascii="Arial" w:eastAsia="Arial" w:hAnsi="Arial" w:cs="Arial"/>
          <w:b/>
          <w:sz w:val="32"/>
          <w:szCs w:val="24"/>
        </w:rPr>
        <w:t>2</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256D1">
        <w:rPr>
          <w:rFonts w:ascii="Arial" w:eastAsia="Arial" w:hAnsi="Arial" w:cs="Arial"/>
          <w:sz w:val="24"/>
          <w:szCs w:val="24"/>
        </w:rPr>
        <w:t>2</w:t>
      </w:r>
      <w:r w:rsidR="003C60ED">
        <w:rPr>
          <w:rFonts w:ascii="Arial" w:eastAsia="Arial" w:hAnsi="Arial" w:cs="Arial"/>
          <w:sz w:val="24"/>
          <w:szCs w:val="24"/>
        </w:rPr>
        <w:t>9</w:t>
      </w:r>
      <w:r w:rsidR="00515F7A">
        <w:rPr>
          <w:rFonts w:ascii="Arial" w:eastAsia="Arial" w:hAnsi="Arial" w:cs="Arial"/>
          <w:sz w:val="24"/>
          <w:szCs w:val="24"/>
        </w:rPr>
        <w:t xml:space="preserve"> </w:t>
      </w:r>
      <w:r w:rsidR="0060627A">
        <w:rPr>
          <w:rFonts w:ascii="Arial" w:eastAsia="Arial" w:hAnsi="Arial" w:cs="Arial"/>
          <w:sz w:val="24"/>
          <w:szCs w:val="24"/>
        </w:rPr>
        <w:t>Novem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C60ED">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B932C1" w:rsidRDefault="00AD7D7C"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5161280</wp:posOffset>
            </wp:positionH>
            <wp:positionV relativeFrom="paragraph">
              <wp:posOffset>58420</wp:posOffset>
            </wp:positionV>
            <wp:extent cx="4561205" cy="3524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1205" cy="352488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rsidR="0038790C" w:rsidRPr="00ED5E51" w:rsidRDefault="00CB50C0" w:rsidP="00843A49">
      <w:pPr>
        <w:pStyle w:val="NoSpacing1"/>
        <w:contextualSpacing/>
        <w:jc w:val="both"/>
        <w:rPr>
          <w:rFonts w:ascii="Arial" w:eastAsia="Times New Roman" w:hAnsi="Arial" w:cs="Arial"/>
          <w:sz w:val="24"/>
          <w:szCs w:val="24"/>
        </w:rPr>
      </w:pPr>
      <w:r w:rsidRPr="00CB50C0">
        <w:rPr>
          <w:rFonts w:ascii="Arial" w:eastAsia="Calibri" w:hAnsi="Arial" w:cs="Arial"/>
          <w:bCs/>
          <w:sz w:val="24"/>
          <w:szCs w:val="24"/>
          <w:lang w:val="en-PH" w:eastAsia="en-PH"/>
        </w:rPr>
        <w:t xml:space="preserve">The center of Typhoon "KAMMURI" was estimated based on all available data at 1,430 km East of </w:t>
      </w:r>
      <w:proofErr w:type="spellStart"/>
      <w:r w:rsidRPr="00CB50C0">
        <w:rPr>
          <w:rFonts w:ascii="Arial" w:eastAsia="Calibri" w:hAnsi="Arial" w:cs="Arial"/>
          <w:bCs/>
          <w:sz w:val="24"/>
          <w:szCs w:val="24"/>
          <w:lang w:val="en-PH" w:eastAsia="en-PH"/>
        </w:rPr>
        <w:t>Visayas</w:t>
      </w:r>
      <w:proofErr w:type="spellEnd"/>
      <w:r w:rsidRPr="00CB50C0">
        <w:rPr>
          <w:rFonts w:ascii="Arial" w:eastAsia="Calibri" w:hAnsi="Arial" w:cs="Arial"/>
          <w:bCs/>
          <w:sz w:val="24"/>
          <w:szCs w:val="24"/>
          <w:lang w:val="en-PH" w:eastAsia="en-PH"/>
        </w:rPr>
        <w:t xml:space="preserve"> (</w:t>
      </w:r>
      <w:r>
        <w:rPr>
          <w:rFonts w:ascii="Arial" w:eastAsia="Calibri" w:hAnsi="Arial" w:cs="Arial"/>
          <w:bCs/>
          <w:sz w:val="24"/>
          <w:szCs w:val="24"/>
          <w:lang w:val="en-PH" w:eastAsia="en-PH"/>
        </w:rPr>
        <w:t>Outside</w:t>
      </w:r>
      <w:r w:rsidRPr="00CB50C0">
        <w:rPr>
          <w:rFonts w:ascii="Arial" w:eastAsia="Calibri" w:hAnsi="Arial" w:cs="Arial"/>
          <w:bCs/>
          <w:sz w:val="24"/>
          <w:szCs w:val="24"/>
          <w:lang w:val="en-PH" w:eastAsia="en-PH"/>
        </w:rPr>
        <w:t xml:space="preserve"> PAR)</w:t>
      </w:r>
      <w:r>
        <w:rPr>
          <w:rFonts w:ascii="Arial" w:eastAsia="Calibri" w:hAnsi="Arial" w:cs="Arial"/>
          <w:bCs/>
          <w:sz w:val="24"/>
          <w:szCs w:val="24"/>
          <w:lang w:val="en-PH" w:eastAsia="en-PH"/>
        </w:rPr>
        <w:t xml:space="preserve"> </w:t>
      </w:r>
      <w:r w:rsidRPr="00CB50C0">
        <w:rPr>
          <w:rFonts w:ascii="Arial" w:eastAsia="Calibri" w:hAnsi="Arial" w:cs="Arial"/>
          <w:bCs/>
          <w:sz w:val="24"/>
          <w:szCs w:val="24"/>
          <w:lang w:val="en-PH" w:eastAsia="en-PH"/>
        </w:rPr>
        <w:t>(11.9°N,138.8°E)</w:t>
      </w:r>
      <w:r>
        <w:rPr>
          <w:rFonts w:ascii="Arial" w:eastAsia="Calibri" w:hAnsi="Arial" w:cs="Arial"/>
          <w:bCs/>
          <w:sz w:val="24"/>
          <w:szCs w:val="24"/>
          <w:lang w:val="en-PH" w:eastAsia="en-PH"/>
        </w:rPr>
        <w:t xml:space="preserve">. </w:t>
      </w:r>
      <w:r w:rsidRPr="00CB50C0">
        <w:rPr>
          <w:rFonts w:ascii="Arial" w:eastAsia="Calibri" w:hAnsi="Arial" w:cs="Arial"/>
          <w:bCs/>
          <w:sz w:val="24"/>
          <w:szCs w:val="24"/>
          <w:lang w:val="en-PH" w:eastAsia="en-PH"/>
        </w:rPr>
        <w:t>"KAMMURI" intensifies into a Typhoon as it slows down while moving west-northwestward.</w:t>
      </w:r>
      <w:r>
        <w:rPr>
          <w:rFonts w:ascii="Arial" w:eastAsia="Calibri" w:hAnsi="Arial" w:cs="Arial"/>
          <w:bCs/>
          <w:sz w:val="24"/>
          <w:szCs w:val="24"/>
          <w:lang w:val="en-PH" w:eastAsia="en-PH"/>
        </w:rPr>
        <w:t xml:space="preserve"> </w:t>
      </w:r>
      <w:r w:rsidR="001E7A8D" w:rsidRPr="001E7A8D">
        <w:rPr>
          <w:rFonts w:ascii="Arial" w:eastAsia="Calibri" w:hAnsi="Arial" w:cs="Arial"/>
          <w:bCs/>
          <w:sz w:val="24"/>
          <w:szCs w:val="24"/>
          <w:lang w:val="en-PH" w:eastAsia="en-PH"/>
        </w:rPr>
        <w:t xml:space="preserve">"KAMMURI" is forecast to enter the Philippine Area of Responsibility (PAR) between Saturday evening (30 November) and Sunday (01 December) morning and will be named "TISOY" as the 20th Philippine tropical cyclone for 2019. Tropical Cyclone Wind Signal #1 may be raised over the eastern portion of Bicol Region-Eastern </w:t>
      </w:r>
      <w:proofErr w:type="spellStart"/>
      <w:r w:rsidR="001E7A8D" w:rsidRPr="001E7A8D">
        <w:rPr>
          <w:rFonts w:ascii="Arial" w:eastAsia="Calibri" w:hAnsi="Arial" w:cs="Arial"/>
          <w:bCs/>
          <w:sz w:val="24"/>
          <w:szCs w:val="24"/>
          <w:lang w:val="en-PH" w:eastAsia="en-PH"/>
        </w:rPr>
        <w:t>Visayas</w:t>
      </w:r>
      <w:proofErr w:type="spellEnd"/>
      <w:r w:rsidR="001E7A8D" w:rsidRPr="001E7A8D">
        <w:rPr>
          <w:rFonts w:ascii="Arial" w:eastAsia="Calibri" w:hAnsi="Arial" w:cs="Arial"/>
          <w:bCs/>
          <w:sz w:val="24"/>
          <w:szCs w:val="24"/>
          <w:lang w:val="en-PH" w:eastAsia="en-PH"/>
        </w:rPr>
        <w:t xml:space="preserve"> area on Sunday. Disruption of maritime travel may be experienced in these areas. Steady intensification is likely throughout the forecast period. The outer </w:t>
      </w:r>
      <w:proofErr w:type="spellStart"/>
      <w:r w:rsidR="001E7A8D" w:rsidRPr="001E7A8D">
        <w:rPr>
          <w:rFonts w:ascii="Arial" w:eastAsia="Calibri" w:hAnsi="Arial" w:cs="Arial"/>
          <w:bCs/>
          <w:sz w:val="24"/>
          <w:szCs w:val="24"/>
          <w:lang w:val="en-PH" w:eastAsia="en-PH"/>
        </w:rPr>
        <w:t>rainbands</w:t>
      </w:r>
      <w:proofErr w:type="spellEnd"/>
      <w:r w:rsidR="001E7A8D" w:rsidRPr="001E7A8D">
        <w:rPr>
          <w:rFonts w:ascii="Arial" w:eastAsia="Calibri" w:hAnsi="Arial" w:cs="Arial"/>
          <w:bCs/>
          <w:sz w:val="24"/>
          <w:szCs w:val="24"/>
          <w:lang w:val="en-PH" w:eastAsia="en-PH"/>
        </w:rPr>
        <w:t xml:space="preserve"> of "KAMMURI" may bring scattered rains and thunderstorms over Bicol Region and Eastern </w:t>
      </w:r>
      <w:proofErr w:type="spellStart"/>
      <w:r w:rsidR="001E7A8D" w:rsidRPr="001E7A8D">
        <w:rPr>
          <w:rFonts w:ascii="Arial" w:eastAsia="Calibri" w:hAnsi="Arial" w:cs="Arial"/>
          <w:bCs/>
          <w:sz w:val="24"/>
          <w:szCs w:val="24"/>
          <w:lang w:val="en-PH" w:eastAsia="en-PH"/>
        </w:rPr>
        <w:t>Visayas</w:t>
      </w:r>
      <w:proofErr w:type="spellEnd"/>
      <w:r w:rsidR="001E7A8D" w:rsidRPr="001E7A8D">
        <w:rPr>
          <w:rFonts w:ascii="Arial" w:eastAsia="Calibri" w:hAnsi="Arial" w:cs="Arial"/>
          <w:bCs/>
          <w:sz w:val="24"/>
          <w:szCs w:val="24"/>
          <w:lang w:val="en-PH" w:eastAsia="en-PH"/>
        </w:rPr>
        <w:t xml:space="preserve"> on Monday (02 December).</w:t>
      </w:r>
    </w:p>
    <w:p w:rsidR="00151EA5" w:rsidRDefault="00A81C78" w:rsidP="00843A49">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Pr="00AD7D7C" w:rsidRDefault="001E7A8D" w:rsidP="00843A49">
      <w:pPr>
        <w:pStyle w:val="NoSpacing1"/>
        <w:contextualSpacing/>
        <w:jc w:val="right"/>
        <w:rPr>
          <w:rFonts w:ascii="Arial" w:eastAsia="Calibri" w:hAnsi="Arial" w:cs="Arial"/>
          <w:bCs/>
          <w:i/>
          <w:color w:val="0070C0"/>
          <w:sz w:val="24"/>
          <w:szCs w:val="24"/>
          <w:lang w:val="en-PH" w:eastAsia="en-PH"/>
        </w:rPr>
      </w:pPr>
    </w:p>
    <w:p w:rsidR="00151EA5" w:rsidRDefault="00351226" w:rsidP="00843A49">
      <w:pPr>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59264" behindDoc="1" locked="0" layoutInCell="1" allowOverlap="1">
            <wp:simplePos x="0" y="0"/>
            <wp:positionH relativeFrom="column">
              <wp:posOffset>603354</wp:posOffset>
            </wp:positionH>
            <wp:positionV relativeFrom="paragraph">
              <wp:posOffset>371191</wp:posOffset>
            </wp:positionV>
            <wp:extent cx="8677180" cy="48809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8690907" cy="4888634"/>
                    </a:xfrm>
                    <a:prstGeom prst="rect">
                      <a:avLst/>
                    </a:prstGeom>
                  </pic:spPr>
                </pic:pic>
              </a:graphicData>
            </a:graphic>
            <wp14:sizeRelH relativeFrom="margin">
              <wp14:pctWidth>0</wp14:pctWidth>
            </wp14:sizeRelH>
            <wp14:sizeRelV relativeFrom="margin">
              <wp14:pctHeight>0</wp14:pctHeight>
            </wp14:sizeRelV>
          </wp:anchor>
        </w:drawing>
      </w:r>
      <w:r w:rsidR="00251556" w:rsidRPr="00151EA5">
        <w:rPr>
          <w:rFonts w:ascii="Arial" w:eastAsia="Arial" w:hAnsi="Arial" w:cs="Arial"/>
          <w:b/>
          <w:noProof/>
          <w:color w:val="002060"/>
          <w:sz w:val="28"/>
          <w:szCs w:val="24"/>
        </w:rPr>
        <mc:AlternateContent>
          <mc:Choice Requires="wps">
            <w:drawing>
              <wp:inline distT="0" distB="0" distL="0" distR="0">
                <wp:extent cx="7524750" cy="3714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" filled="f" stroked="f">
                <v:textbo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anchorlock/>
              </v:shape>
            </w:pict>
          </mc:Fallback>
        </mc:AlternateContent>
      </w:r>
    </w:p>
    <w:p w:rsidR="00843A49" w:rsidRDefault="00843A49" w:rsidP="00843A49">
      <w:pPr>
        <w:spacing w:after="0" w:line="240" w:lineRule="auto"/>
        <w:contextualSpacing/>
        <w:jc w:val="center"/>
        <w:rPr>
          <w:rFonts w:ascii="Arial" w:eastAsia="Arial" w:hAnsi="Arial" w:cs="Arial"/>
          <w:b/>
          <w:color w:val="002060"/>
          <w:sz w:val="28"/>
          <w:szCs w:val="24"/>
        </w:rPr>
      </w:pPr>
    </w:p>
    <w:p w:rsidR="00151EA5" w:rsidRDefault="00151EA5" w:rsidP="00843A49">
      <w:pPr>
        <w:spacing w:after="0" w:line="240" w:lineRule="auto"/>
        <w:contextualSpacing/>
        <w:jc w:val="center"/>
        <w:rPr>
          <w:rFonts w:ascii="Arial" w:eastAsia="Arial" w:hAnsi="Arial" w:cs="Arial"/>
          <w:b/>
          <w:color w:val="002060"/>
          <w:sz w:val="28"/>
          <w:szCs w:val="24"/>
        </w:rPr>
      </w:pPr>
    </w:p>
    <w:p w:rsidR="00AD7D7C" w:rsidRDefault="00AD7D7C"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AD7D7C" w:rsidRDefault="00FE7CE8" w:rsidP="00843A49">
      <w:pPr>
        <w:spacing w:after="0" w:line="240" w:lineRule="auto"/>
        <w:contextualSpacing/>
        <w:jc w:val="right"/>
        <w:rPr>
          <w:rFonts w:ascii="Arial" w:eastAsia="Arial" w:hAnsi="Arial" w:cs="Arial"/>
          <w:b/>
          <w:color w:val="002060"/>
          <w:sz w:val="28"/>
          <w:szCs w:val="24"/>
        </w:rPr>
      </w:pPr>
      <w:r>
        <w:rPr>
          <w:rFonts w:ascii="Arial" w:hAnsi="Arial" w:cs="Arial"/>
          <w:bCs/>
          <w:i/>
          <w:color w:val="0070C0"/>
          <w:sz w:val="16"/>
          <w:szCs w:val="24"/>
        </w:rPr>
        <w:t>Prepared by</w:t>
      </w:r>
      <w:r w:rsidR="00AD7D7C">
        <w:rPr>
          <w:rFonts w:ascii="Arial" w:hAnsi="Arial" w:cs="Arial"/>
          <w:bCs/>
          <w:i/>
          <w:color w:val="0070C0"/>
          <w:sz w:val="16"/>
          <w:szCs w:val="24"/>
        </w:rPr>
        <w:t xml:space="preserve">: </w:t>
      </w:r>
      <w:r w:rsidR="00AD7D7C">
        <w:rPr>
          <w:rFonts w:ascii="Arial" w:hAnsi="Arial" w:cs="Arial"/>
          <w:i/>
          <w:color w:val="0070C0"/>
          <w:sz w:val="16"/>
          <w:szCs w:val="24"/>
        </w:rPr>
        <w:t>DRMB-DROMIC GIS Specialists</w:t>
      </w:r>
    </w:p>
    <w:p w:rsidR="00A81C78" w:rsidRPr="007A4353" w:rsidRDefault="00A81C78" w:rsidP="00843A49">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43A49">
      <w:pPr>
        <w:spacing w:after="0" w:line="240" w:lineRule="auto"/>
        <w:contextualSpacing/>
        <w:jc w:val="both"/>
        <w:rPr>
          <w:rFonts w:ascii="Arial" w:eastAsia="Arial" w:hAnsi="Arial" w:cs="Arial"/>
          <w:color w:val="auto"/>
          <w:sz w:val="24"/>
          <w:szCs w:val="24"/>
        </w:rPr>
      </w:pPr>
    </w:p>
    <w:p w:rsidR="00A81C78" w:rsidRPr="00EC68E7" w:rsidRDefault="00696FAF" w:rsidP="00843A49">
      <w:pPr>
        <w:spacing w:after="0" w:line="240" w:lineRule="auto"/>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1,353,912,860.63 </w:t>
      </w:r>
      <w:r w:rsidRPr="00EC68E7">
        <w:rPr>
          <w:rFonts w:ascii="Arial" w:eastAsia="Arial" w:hAnsi="Arial" w:cs="Arial"/>
          <w:color w:val="auto"/>
          <w:sz w:val="24"/>
          <w:szCs w:val="24"/>
        </w:rPr>
        <w:t>with breakdown as follows</w:t>
      </w:r>
      <w:r w:rsidR="002063ED" w:rsidRPr="00EC68E7">
        <w:rPr>
          <w:rFonts w:ascii="Arial" w:eastAsia="Arial" w:hAnsi="Arial" w:cs="Arial"/>
          <w:color w:val="auto"/>
          <w:sz w:val="24"/>
          <w:szCs w:val="24"/>
        </w:rPr>
        <w:t xml:space="preserve"> (see Table 1)</w:t>
      </w:r>
      <w:r w:rsidRPr="00EC68E7">
        <w:rPr>
          <w:rFonts w:ascii="Arial" w:eastAsia="Arial" w:hAnsi="Arial" w:cs="Arial"/>
          <w:color w:val="auto"/>
          <w:sz w:val="24"/>
          <w:szCs w:val="24"/>
        </w:rPr>
        <w:t>:</w:t>
      </w:r>
    </w:p>
    <w:p w:rsidR="0043209E" w:rsidRPr="00EC68E7" w:rsidRDefault="0043209E" w:rsidP="00843A49">
      <w:pPr>
        <w:spacing w:after="0" w:line="240" w:lineRule="auto"/>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EC68E7">
        <w:rPr>
          <w:rFonts w:ascii="Arial" w:eastAsia="Arial" w:hAnsi="Arial" w:cs="Arial"/>
          <w:b/>
          <w:color w:val="auto"/>
          <w:sz w:val="24"/>
          <w:szCs w:val="24"/>
          <w:highlight w:val="white"/>
        </w:rPr>
        <w:t>Standby Funds</w:t>
      </w:r>
    </w:p>
    <w:p w:rsidR="00A81C78" w:rsidRPr="00EC68E7" w:rsidRDefault="00696FAF" w:rsidP="00843A4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586,890,340.46 </w:t>
      </w:r>
      <w:r w:rsidRPr="00EC68E7">
        <w:rPr>
          <w:rFonts w:ascii="Arial" w:eastAsia="Arial" w:hAnsi="Arial" w:cs="Arial"/>
          <w:color w:val="auto"/>
          <w:sz w:val="24"/>
          <w:szCs w:val="24"/>
        </w:rPr>
        <w:t xml:space="preserve">standby funds in the </w:t>
      </w:r>
      <w:r w:rsidR="00583D8D" w:rsidRPr="00EC68E7">
        <w:rPr>
          <w:rFonts w:ascii="Arial" w:eastAsia="Arial" w:hAnsi="Arial" w:cs="Arial"/>
          <w:color w:val="auto"/>
          <w:sz w:val="24"/>
          <w:szCs w:val="24"/>
        </w:rPr>
        <w:t xml:space="preserve">CO and FOs. Of the said amount,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548,990,071.00</w:t>
      </w:r>
      <w:r w:rsidR="00DE7E84" w:rsidRPr="00EC68E7">
        <w:rPr>
          <w:rFonts w:ascii="Arial" w:eastAsia="Arial" w:hAnsi="Arial" w:cs="Arial"/>
          <w:b/>
          <w:color w:val="auto"/>
          <w:sz w:val="24"/>
          <w:szCs w:val="24"/>
        </w:rPr>
        <w:t xml:space="preserve"> </w:t>
      </w:r>
      <w:r w:rsidRPr="00EC68E7">
        <w:rPr>
          <w:rFonts w:ascii="Arial" w:eastAsia="Arial" w:hAnsi="Arial" w:cs="Arial"/>
          <w:color w:val="auto"/>
          <w:sz w:val="24"/>
          <w:szCs w:val="24"/>
        </w:rPr>
        <w:t xml:space="preserve">is the available Quick Response Fund </w:t>
      </w:r>
      <w:r w:rsidR="005F7E3F" w:rsidRPr="00EC68E7">
        <w:rPr>
          <w:rFonts w:ascii="Arial" w:eastAsia="Arial" w:hAnsi="Arial" w:cs="Arial"/>
          <w:color w:val="auto"/>
          <w:sz w:val="24"/>
          <w:szCs w:val="24"/>
        </w:rPr>
        <w:t xml:space="preserve">(QRF) </w:t>
      </w:r>
      <w:r w:rsidRPr="00EC68E7">
        <w:rPr>
          <w:rFonts w:ascii="Arial" w:eastAsia="Arial" w:hAnsi="Arial" w:cs="Arial"/>
          <w:color w:val="auto"/>
          <w:sz w:val="24"/>
          <w:szCs w:val="24"/>
        </w:rPr>
        <w:t>in the CO.</w:t>
      </w:r>
      <w:r w:rsidR="00DE7E84" w:rsidRPr="00EC68E7">
        <w:rPr>
          <w:rFonts w:ascii="Arial" w:eastAsia="Arial" w:hAnsi="Arial" w:cs="Arial"/>
          <w:color w:val="auto"/>
          <w:sz w:val="24"/>
          <w:szCs w:val="24"/>
        </w:rPr>
        <w:t xml:space="preserve"> </w:t>
      </w:r>
    </w:p>
    <w:p w:rsidR="00A81C78" w:rsidRPr="00EC68E7" w:rsidRDefault="00A81C78" w:rsidP="00843A49">
      <w:pPr>
        <w:spacing w:after="0" w:line="240" w:lineRule="auto"/>
        <w:ind w:left="720"/>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EC68E7">
        <w:rPr>
          <w:rFonts w:ascii="Arial" w:eastAsia="Arial" w:hAnsi="Arial" w:cs="Arial"/>
          <w:b/>
          <w:color w:val="auto"/>
          <w:sz w:val="24"/>
          <w:szCs w:val="24"/>
        </w:rPr>
        <w:t>Stockpiles</w:t>
      </w:r>
    </w:p>
    <w:p w:rsidR="00A81C78" w:rsidRPr="00EC68E7" w:rsidRDefault="00696FAF" w:rsidP="00843A4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4444F8" w:rsidRPr="00EC68E7">
        <w:rPr>
          <w:rFonts w:ascii="Arial" w:eastAsia="Arial" w:hAnsi="Arial" w:cs="Arial"/>
          <w:b/>
          <w:color w:val="auto"/>
          <w:sz w:val="24"/>
          <w:szCs w:val="24"/>
        </w:rPr>
        <w:t xml:space="preserve">299,489 </w:t>
      </w:r>
      <w:r w:rsidR="005627D9" w:rsidRPr="00EC68E7">
        <w:rPr>
          <w:rFonts w:ascii="Arial" w:eastAsia="Arial" w:hAnsi="Arial" w:cs="Arial"/>
          <w:b/>
          <w:color w:val="auto"/>
          <w:sz w:val="24"/>
          <w:szCs w:val="24"/>
        </w:rPr>
        <w:t xml:space="preserve">family food packs </w:t>
      </w:r>
      <w:r w:rsidRPr="00EC68E7">
        <w:rPr>
          <w:rFonts w:ascii="Arial" w:eastAsia="Arial" w:hAnsi="Arial" w:cs="Arial"/>
          <w:b/>
          <w:color w:val="auto"/>
          <w:sz w:val="24"/>
          <w:szCs w:val="24"/>
        </w:rPr>
        <w:t>(FFPs)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115,375,181.72 </w:t>
      </w:r>
      <w:r w:rsidRPr="00EC68E7">
        <w:rPr>
          <w:rFonts w:ascii="Arial" w:eastAsia="Arial" w:hAnsi="Arial" w:cs="Arial"/>
          <w:color w:val="auto"/>
          <w:sz w:val="24"/>
          <w:szCs w:val="24"/>
        </w:rPr>
        <w:t xml:space="preserve">and available </w:t>
      </w:r>
      <w:r w:rsidR="005627D9" w:rsidRPr="00EC68E7">
        <w:rPr>
          <w:rFonts w:ascii="Arial" w:eastAsia="Arial" w:hAnsi="Arial" w:cs="Arial"/>
          <w:b/>
          <w:color w:val="auto"/>
          <w:sz w:val="24"/>
          <w:szCs w:val="24"/>
        </w:rPr>
        <w:t xml:space="preserve">food and non-food items </w:t>
      </w:r>
      <w:r w:rsidRPr="00EC68E7">
        <w:rPr>
          <w:rFonts w:ascii="Arial" w:eastAsia="Arial" w:hAnsi="Arial" w:cs="Arial"/>
          <w:b/>
          <w:color w:val="auto"/>
          <w:sz w:val="24"/>
          <w:szCs w:val="24"/>
        </w:rPr>
        <w:t>(FNIs)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651,647,338.45</w:t>
      </w:r>
      <w:r w:rsidR="005613EE" w:rsidRPr="00EC68E7">
        <w:rPr>
          <w:rFonts w:ascii="Arial" w:eastAsia="Arial" w:hAnsi="Arial" w:cs="Arial"/>
          <w:b/>
          <w:color w:val="auto"/>
          <w:sz w:val="24"/>
          <w:szCs w:val="24"/>
        </w:rPr>
        <w:t>.</w:t>
      </w:r>
    </w:p>
    <w:p w:rsidR="006C2CB0" w:rsidRPr="00EC68E7" w:rsidRDefault="006C2CB0" w:rsidP="00843A49">
      <w:pPr>
        <w:spacing w:after="0" w:line="240" w:lineRule="auto"/>
        <w:ind w:left="720"/>
        <w:contextualSpacing/>
        <w:jc w:val="both"/>
        <w:rPr>
          <w:rFonts w:ascii="Arial" w:eastAsia="Arial" w:hAnsi="Arial" w:cs="Arial"/>
          <w:color w:val="auto"/>
          <w:sz w:val="24"/>
          <w:szCs w:val="24"/>
        </w:rPr>
      </w:pPr>
    </w:p>
    <w:tbl>
      <w:tblPr>
        <w:tblW w:w="4767" w:type="pct"/>
        <w:tblInd w:w="704" w:type="dxa"/>
        <w:tblLook w:val="04A0" w:firstRow="1" w:lastRow="0" w:firstColumn="1" w:lastColumn="0" w:noHBand="0" w:noVBand="1"/>
      </w:tblPr>
      <w:tblGrid>
        <w:gridCol w:w="1773"/>
        <w:gridCol w:w="2164"/>
        <w:gridCol w:w="1154"/>
        <w:gridCol w:w="1941"/>
        <w:gridCol w:w="1929"/>
        <w:gridCol w:w="1886"/>
        <w:gridCol w:w="1786"/>
        <w:gridCol w:w="2006"/>
      </w:tblGrid>
      <w:tr w:rsidR="004444F8" w:rsidRPr="004444F8" w:rsidTr="0092250B">
        <w:trPr>
          <w:trHeight w:val="20"/>
          <w:tblHeader/>
        </w:trPr>
        <w:tc>
          <w:tcPr>
            <w:tcW w:w="60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44F8">
              <w:rPr>
                <w:rFonts w:ascii="Arial" w:eastAsia="Times New Roman" w:hAnsi="Arial" w:cs="Arial"/>
                <w:b/>
                <w:bCs/>
                <w:sz w:val="20"/>
                <w:szCs w:val="20"/>
              </w:rPr>
              <w:t>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 xml:space="preserve"> STANDBY FUNDS</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FAMILY FOOD PACKS</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Other Food Items</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Non Food Items</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 xml:space="preserve"> SUB-TOTAL (Food and NFIs)</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Total STANDBY FUNDS &amp; STOCKPILE</w:t>
            </w:r>
          </w:p>
        </w:tc>
      </w:tr>
      <w:tr w:rsidR="004444F8" w:rsidRPr="004444F8" w:rsidTr="0092250B">
        <w:trPr>
          <w:trHeight w:val="20"/>
          <w:tblHeader/>
        </w:trPr>
        <w:tc>
          <w:tcPr>
            <w:tcW w:w="606"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C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Quantity</w:t>
            </w:r>
          </w:p>
        </w:tc>
        <w:tc>
          <w:tcPr>
            <w:tcW w:w="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 xml:space="preserve"> Total Cost</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Total Cost</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Total Cost</w:t>
            </w:r>
          </w:p>
        </w:tc>
        <w:tc>
          <w:tcPr>
            <w:tcW w:w="61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0"/>
                <w:szCs w:val="20"/>
              </w:rPr>
            </w:pPr>
          </w:p>
        </w:tc>
        <w:tc>
          <w:tcPr>
            <w:tcW w:w="68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0"/>
                <w:szCs w:val="20"/>
              </w:rPr>
            </w:pPr>
          </w:p>
        </w:tc>
      </w:tr>
      <w:tr w:rsidR="004444F8" w:rsidRPr="004444F8" w:rsidTr="004444F8">
        <w:trPr>
          <w:trHeight w:val="20"/>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44F8">
              <w:rPr>
                <w:rFonts w:ascii="Arial" w:eastAsia="Times New Roman" w:hAnsi="Arial" w:cs="Arial"/>
                <w:b/>
                <w:bCs/>
                <w:sz w:val="20"/>
                <w:szCs w:val="20"/>
              </w:rPr>
              <w:t>TOTAL</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586,890,340.46 </w:t>
            </w: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299,489</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115,375,181.72 </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198,892,269.76 </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452,755,068.69 </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651,647,338.45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1,353,912,860.63 </w:t>
            </w:r>
          </w:p>
        </w:tc>
      </w:tr>
      <w:tr w:rsidR="004444F8" w:rsidRPr="004444F8" w:rsidTr="004444F8">
        <w:trPr>
          <w:trHeight w:val="20"/>
        </w:trPr>
        <w:tc>
          <w:tcPr>
            <w:tcW w:w="606" w:type="pct"/>
            <w:tcBorders>
              <w:top w:val="single" w:sz="4" w:space="0" w:color="auto"/>
              <w:left w:val="single" w:sz="4" w:space="0" w:color="000000"/>
              <w:bottom w:val="nil"/>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Central Office</w:t>
            </w:r>
          </w:p>
        </w:tc>
        <w:tc>
          <w:tcPr>
            <w:tcW w:w="73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263238"/>
                <w:sz w:val="20"/>
                <w:szCs w:val="20"/>
              </w:rPr>
            </w:pPr>
            <w:r w:rsidRPr="004444F8">
              <w:rPr>
                <w:rFonts w:ascii="Arial" w:eastAsia="Times New Roman" w:hAnsi="Arial" w:cs="Arial"/>
                <w:color w:val="263238"/>
                <w:sz w:val="20"/>
                <w:szCs w:val="20"/>
              </w:rPr>
              <w:t>548,990,071.00</w:t>
            </w:r>
          </w:p>
        </w:tc>
        <w:tc>
          <w:tcPr>
            <w:tcW w:w="394"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0</w:t>
            </w:r>
          </w:p>
        </w:tc>
        <w:tc>
          <w:tcPr>
            <w:tcW w:w="663"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   </w:t>
            </w:r>
          </w:p>
        </w:tc>
        <w:tc>
          <w:tcPr>
            <w:tcW w:w="659"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   </w:t>
            </w:r>
          </w:p>
        </w:tc>
        <w:tc>
          <w:tcPr>
            <w:tcW w:w="644"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   </w:t>
            </w:r>
          </w:p>
        </w:tc>
        <w:tc>
          <w:tcPr>
            <w:tcW w:w="610" w:type="pct"/>
            <w:tcBorders>
              <w:top w:val="single" w:sz="4" w:space="0" w:color="auto"/>
              <w:left w:val="nil"/>
              <w:bottom w:val="nil"/>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548,990,071.00 </w:t>
            </w:r>
          </w:p>
        </w:tc>
      </w:tr>
      <w:tr w:rsidR="004444F8" w:rsidRPr="004444F8" w:rsidTr="004444F8">
        <w:trPr>
          <w:trHeight w:val="20"/>
        </w:trPr>
        <w:tc>
          <w:tcPr>
            <w:tcW w:w="606" w:type="pct"/>
            <w:tcBorders>
              <w:top w:val="single" w:sz="4" w:space="0" w:color="000000"/>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NRLMB - NROC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39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36,718</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15,509,556.20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43,155,892.91 </w:t>
            </w:r>
          </w:p>
        </w:tc>
        <w:tc>
          <w:tcPr>
            <w:tcW w:w="64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246,903,110.99 </w:t>
            </w:r>
          </w:p>
        </w:tc>
        <w:tc>
          <w:tcPr>
            <w:tcW w:w="610" w:type="pct"/>
            <w:tcBorders>
              <w:top w:val="single" w:sz="4" w:space="0" w:color="000000"/>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290,059,003.90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305,568,560.10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NRLMB - VDRC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7,256,200.00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4,090,050.00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11,346,250.00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11,346,250.00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2,379,275.00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14,303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5,178,166.58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299,455.20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37,645,525.20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37,944,980.40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45,502,421.98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3,564,703.35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26,940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10,550,187.76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639,602.00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3,514,865.95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4,154,467.95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18,269,359.06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3,068,057.00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12,629</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5,053,812.68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2,420,969.70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6,042,738.40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8,463,708.10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16,585,577.78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CALABARZON</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1,785,325.00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6,405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2,264,433.70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3,187,954.80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5,523,160.91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8,711,115.71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12,760,874.41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MIMAROPA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3,046,722.58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29,087</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12,158,366.00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697,934.74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10,663,131.29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11,361,066.03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26,566,154.61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23,140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9,024,600.00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5,689,296.56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27,591,623.94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33,280,920.50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45,305,520.50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2,040,000.00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13,828</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4,978,080.00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3,840,535.67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5,285,253.00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9,125,788.67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16,143,868.67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752,800.00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12,565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4,523,400.00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11,682,706.50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11,950,331.27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23,633,037.77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28,909,237.77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1,203,735.00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18,960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7,169,851.74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3,285,093.94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24,068,382.08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27,353,476.02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35,727,062.76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3,001,888.85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13,322</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4,795,920.00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2,453,920.00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15,492,234.14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17,946,154.14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25,743,962.99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17,823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6,498,552.00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97,334,812.23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13,481,175.80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110,815,988.03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120,314,540.03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XI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322,644.00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33,481</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12,100,033.40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3,875,600.00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5,285,389.50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9,160,989.50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21,583,666.90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XII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1,415,770.18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5,923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2,371,139.00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6,482,259.00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5,918,551.16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12,400,810.16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16,187,719.34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lastRenderedPageBreak/>
              <w:t>CARAGA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15,325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5,782,957.50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1,947,237.00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685,755.46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2,632,992.46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11,415,949.96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NCR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3,292,543.50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6,346</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2,378,666.64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982,611.51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10,538,332.60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11,520,944.11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17,192,154.25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CAR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3,026,805.00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12,694</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5,037,458.52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3,660,188.00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18,075,457.00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21,735,645.00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29,799,908.52 </w:t>
            </w:r>
          </w:p>
        </w:tc>
      </w:tr>
    </w:tbl>
    <w:p w:rsidR="004C5385" w:rsidRDefault="00223D7C" w:rsidP="00843A4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 xml:space="preserve">Quick Response Fund (QRF) as of </w:t>
      </w:r>
      <w:r w:rsidR="004444F8">
        <w:rPr>
          <w:rFonts w:ascii="Arial" w:hAnsi="Arial" w:cs="Arial"/>
          <w:i/>
          <w:sz w:val="20"/>
          <w:szCs w:val="24"/>
        </w:rPr>
        <w:t>28</w:t>
      </w:r>
      <w:r w:rsidR="00777249">
        <w:rPr>
          <w:rFonts w:ascii="Arial" w:hAnsi="Arial" w:cs="Arial"/>
          <w:i/>
          <w:sz w:val="20"/>
          <w:szCs w:val="24"/>
        </w:rPr>
        <w:t xml:space="preserve"> </w:t>
      </w:r>
      <w:r w:rsidR="003C0B5E">
        <w:rPr>
          <w:rFonts w:ascii="Arial" w:hAnsi="Arial" w:cs="Arial"/>
          <w:i/>
          <w:sz w:val="20"/>
          <w:szCs w:val="24"/>
        </w:rPr>
        <w:t>November</w:t>
      </w:r>
      <w:r>
        <w:rPr>
          <w:rFonts w:ascii="Arial" w:hAnsi="Arial" w:cs="Arial"/>
          <w:i/>
          <w:sz w:val="20"/>
          <w:szCs w:val="24"/>
        </w:rPr>
        <w:t xml:space="preserve"> </w:t>
      </w:r>
      <w:r w:rsidR="00D700D1" w:rsidRPr="00D700D1">
        <w:rPr>
          <w:rFonts w:ascii="Arial" w:hAnsi="Arial" w:cs="Arial"/>
          <w:i/>
          <w:sz w:val="20"/>
          <w:szCs w:val="24"/>
        </w:rPr>
        <w:t>2019</w:t>
      </w:r>
    </w:p>
    <w:p w:rsidR="00A66832" w:rsidRPr="00A66832" w:rsidRDefault="00A66832" w:rsidP="00843A49">
      <w:pPr>
        <w:spacing w:after="0" w:line="240" w:lineRule="auto"/>
        <w:contextualSpacing/>
        <w:rPr>
          <w:sz w:val="24"/>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690"/>
        <w:gridCol w:w="12665"/>
      </w:tblGrid>
      <w:tr w:rsidR="00376584" w:rsidRPr="00D717CF" w:rsidTr="00ED5E51">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rsidTr="00ED5E51">
        <w:trPr>
          <w:trHeight w:val="20"/>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4444F8" w:rsidP="009940A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w:t>
            </w:r>
            <w:r w:rsidR="009940A7">
              <w:rPr>
                <w:rFonts w:ascii="Arial" w:eastAsia="Arial" w:hAnsi="Arial" w:cs="Arial"/>
                <w:color w:val="0070C0"/>
                <w:sz w:val="20"/>
                <w:szCs w:val="24"/>
              </w:rPr>
              <w:t>9</w:t>
            </w:r>
            <w:r w:rsidR="00424801" w:rsidRPr="00D717CF">
              <w:rPr>
                <w:rFonts w:ascii="Arial" w:eastAsia="Arial" w:hAnsi="Arial" w:cs="Arial"/>
                <w:color w:val="0070C0"/>
                <w:sz w:val="20"/>
                <w:szCs w:val="24"/>
              </w:rPr>
              <w:t xml:space="preserve"> </w:t>
            </w:r>
            <w:r w:rsidR="00AF6FD9" w:rsidRPr="00D717CF">
              <w:rPr>
                <w:rFonts w:ascii="Arial" w:eastAsia="Arial" w:hAnsi="Arial" w:cs="Arial"/>
                <w:color w:val="0070C0"/>
                <w:sz w:val="20"/>
                <w:szCs w:val="24"/>
              </w:rPr>
              <w:t>Novembe</w:t>
            </w:r>
            <w:r w:rsidR="000324F4" w:rsidRPr="00D717CF">
              <w:rPr>
                <w:rFonts w:ascii="Arial" w:eastAsia="Arial" w:hAnsi="Arial" w:cs="Arial"/>
                <w:color w:val="0070C0"/>
                <w:sz w:val="20"/>
                <w:szCs w:val="24"/>
              </w:rPr>
              <w:t>r</w:t>
            </w:r>
            <w:r w:rsidR="00411916" w:rsidRPr="00D717CF">
              <w:rPr>
                <w:rFonts w:ascii="Arial" w:eastAsia="Arial" w:hAnsi="Arial" w:cs="Arial"/>
                <w:color w:val="0070C0"/>
                <w:sz w:val="20"/>
                <w:szCs w:val="24"/>
              </w:rPr>
              <w:t xml:space="preserve"> </w:t>
            </w:r>
            <w:r w:rsidR="00454E8A" w:rsidRPr="00D717CF">
              <w:rPr>
                <w:rFonts w:ascii="Arial" w:eastAsia="Arial" w:hAnsi="Arial" w:cs="Arial"/>
                <w:color w:val="0070C0"/>
                <w:sz w:val="20"/>
                <w:szCs w:val="24"/>
              </w:rPr>
              <w:t>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rsidR="00E92C74" w:rsidRPr="009E7037"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rsidR="002D0802" w:rsidRDefault="002D0802" w:rsidP="00843A49">
      <w:pPr>
        <w:spacing w:after="0" w:line="240" w:lineRule="auto"/>
        <w:contextualSpacing/>
        <w:rPr>
          <w:rFonts w:ascii="Arial" w:eastAsia="Arial" w:hAnsi="Arial" w:cs="Arial"/>
          <w:b/>
          <w:sz w:val="24"/>
          <w:szCs w:val="24"/>
        </w:rPr>
      </w:pPr>
    </w:p>
    <w:p w:rsidR="004E3A14" w:rsidRDefault="004E3A14" w:rsidP="004E3A14">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NCR</w:t>
      </w:r>
    </w:p>
    <w:tbl>
      <w:tblPr>
        <w:tblW w:w="5000" w:type="pct"/>
        <w:tblLook w:val="0400" w:firstRow="0" w:lastRow="0" w:firstColumn="0" w:lastColumn="0" w:noHBand="0" w:noVBand="1"/>
      </w:tblPr>
      <w:tblGrid>
        <w:gridCol w:w="2690"/>
        <w:gridCol w:w="12665"/>
      </w:tblGrid>
      <w:tr w:rsidR="004E3A14" w:rsidRPr="00D717CF" w:rsidTr="00F706F3">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D717CF" w:rsidRDefault="004E3A14"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D717CF" w:rsidRDefault="004E3A14"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E3A14" w:rsidRPr="00D717CF" w:rsidTr="00F706F3">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8F63A8" w:rsidRDefault="008F63A8" w:rsidP="004E3A1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8F63A8">
              <w:rPr>
                <w:rFonts w:ascii="Arial" w:eastAsia="Arial" w:hAnsi="Arial" w:cs="Arial"/>
                <w:color w:val="0070C0"/>
                <w:sz w:val="20"/>
                <w:szCs w:val="24"/>
              </w:rPr>
              <w:t>29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8F63A8" w:rsidRDefault="004E3A14" w:rsidP="004E3A14">
            <w:pPr>
              <w:pStyle w:val="ListParagraph"/>
              <w:numPr>
                <w:ilvl w:val="0"/>
                <w:numId w:val="1"/>
              </w:numPr>
              <w:spacing w:after="0" w:line="240" w:lineRule="auto"/>
              <w:ind w:left="317"/>
              <w:jc w:val="both"/>
              <w:rPr>
                <w:rFonts w:ascii="Arial" w:eastAsia="Arial" w:hAnsi="Arial" w:cs="Arial"/>
                <w:color w:val="0070C0"/>
                <w:sz w:val="20"/>
                <w:szCs w:val="24"/>
              </w:rPr>
            </w:pPr>
            <w:r w:rsidRPr="008F63A8">
              <w:rPr>
                <w:rFonts w:ascii="Arial" w:eastAsia="Arial" w:hAnsi="Arial" w:cs="Arial"/>
                <w:color w:val="0070C0"/>
                <w:sz w:val="20"/>
                <w:szCs w:val="24"/>
              </w:rPr>
              <w:t>DSWD-FO NCR composed of organic staff from the Field Office and Centers and Residential Care Facilities (C/RCFs) are activated and on standby in response to any eventualities. The assignment of said staff is scheduled per day.</w:t>
            </w:r>
          </w:p>
          <w:p w:rsidR="004E3A14" w:rsidRPr="008F63A8" w:rsidRDefault="004E3A14" w:rsidP="004E3A14">
            <w:pPr>
              <w:pStyle w:val="ListParagraph"/>
              <w:numPr>
                <w:ilvl w:val="0"/>
                <w:numId w:val="1"/>
              </w:numPr>
              <w:spacing w:after="0" w:line="240" w:lineRule="auto"/>
              <w:ind w:left="317"/>
              <w:jc w:val="both"/>
              <w:rPr>
                <w:rFonts w:ascii="Arial" w:eastAsia="Arial" w:hAnsi="Arial" w:cs="Arial"/>
                <w:color w:val="0070C0"/>
                <w:sz w:val="20"/>
                <w:szCs w:val="24"/>
              </w:rPr>
            </w:pPr>
            <w:r w:rsidRPr="008F63A8">
              <w:rPr>
                <w:rFonts w:ascii="Arial" w:eastAsia="Arial" w:hAnsi="Arial" w:cs="Arial"/>
                <w:color w:val="0070C0"/>
                <w:sz w:val="20"/>
                <w:szCs w:val="24"/>
              </w:rPr>
              <w:t xml:space="preserve">The DSWD-NCR has established its EOC located at Room 109, FO-NCR, </w:t>
            </w:r>
            <w:proofErr w:type="spellStart"/>
            <w:r w:rsidRPr="008F63A8">
              <w:rPr>
                <w:rFonts w:ascii="Arial" w:eastAsia="Arial" w:hAnsi="Arial" w:cs="Arial"/>
                <w:color w:val="0070C0"/>
                <w:sz w:val="20"/>
                <w:szCs w:val="24"/>
              </w:rPr>
              <w:t>Sampaloc</w:t>
            </w:r>
            <w:proofErr w:type="spellEnd"/>
            <w:r w:rsidRPr="008F63A8">
              <w:rPr>
                <w:rFonts w:ascii="Arial" w:eastAsia="Arial" w:hAnsi="Arial" w:cs="Arial"/>
                <w:color w:val="0070C0"/>
                <w:sz w:val="20"/>
                <w:szCs w:val="24"/>
              </w:rPr>
              <w:t>, Manila.</w:t>
            </w:r>
          </w:p>
        </w:tc>
      </w:tr>
    </w:tbl>
    <w:p w:rsidR="008F63A8" w:rsidRDefault="008F63A8" w:rsidP="008F63A8">
      <w:pPr>
        <w:spacing w:after="0" w:line="240" w:lineRule="auto"/>
        <w:contextualSpacing/>
        <w:rPr>
          <w:rFonts w:ascii="Arial" w:eastAsia="Arial" w:hAnsi="Arial" w:cs="Arial"/>
          <w:b/>
          <w:sz w:val="24"/>
          <w:szCs w:val="24"/>
        </w:rPr>
      </w:pPr>
    </w:p>
    <w:p w:rsidR="008F63A8" w:rsidRDefault="008F63A8" w:rsidP="008F63A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690"/>
        <w:gridCol w:w="12665"/>
      </w:tblGrid>
      <w:tr w:rsidR="008F63A8" w:rsidRPr="00D717CF" w:rsidTr="00F706F3">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D717CF" w:rsidRDefault="008F63A8"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D717CF" w:rsidRDefault="008F63A8"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F63A8" w:rsidRPr="00D717CF" w:rsidTr="00F706F3">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BC4B37" w:rsidRDefault="00BC4B37" w:rsidP="00BC4B3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8F63A8">
              <w:rPr>
                <w:rFonts w:ascii="Arial" w:eastAsia="Arial" w:hAnsi="Arial" w:cs="Arial"/>
                <w:color w:val="0070C0"/>
                <w:sz w:val="20"/>
                <w:szCs w:val="24"/>
              </w:rPr>
              <w:t>29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2F9E" w:rsidRDefault="008F63A8" w:rsidP="00262F9E">
            <w:pPr>
              <w:pStyle w:val="ListParagraph"/>
              <w:numPr>
                <w:ilvl w:val="0"/>
                <w:numId w:val="1"/>
              </w:numPr>
              <w:spacing w:after="0" w:line="240" w:lineRule="auto"/>
              <w:ind w:left="317"/>
              <w:jc w:val="both"/>
              <w:rPr>
                <w:rFonts w:ascii="Arial" w:eastAsia="Arial" w:hAnsi="Arial" w:cs="Arial"/>
                <w:color w:val="auto"/>
                <w:sz w:val="20"/>
                <w:szCs w:val="24"/>
              </w:rPr>
            </w:pPr>
            <w:r w:rsidRPr="00E66E77">
              <w:rPr>
                <w:rFonts w:ascii="Arial" w:eastAsia="Arial" w:hAnsi="Arial" w:cs="Arial"/>
                <w:color w:val="auto"/>
                <w:sz w:val="20"/>
                <w:szCs w:val="24"/>
              </w:rPr>
              <w:t xml:space="preserve">DSWD-FO </w:t>
            </w:r>
            <w:r w:rsidR="00C14C68">
              <w:rPr>
                <w:rFonts w:ascii="Arial" w:eastAsia="Arial" w:hAnsi="Arial" w:cs="Arial"/>
                <w:color w:val="auto"/>
                <w:sz w:val="20"/>
                <w:szCs w:val="24"/>
              </w:rPr>
              <w:t xml:space="preserve">I </w:t>
            </w:r>
            <w:r w:rsidR="00C14C68" w:rsidRPr="00C14C68">
              <w:rPr>
                <w:rFonts w:ascii="Arial" w:eastAsia="Arial" w:hAnsi="Arial" w:cs="Arial"/>
                <w:color w:val="auto"/>
                <w:sz w:val="20"/>
                <w:szCs w:val="24"/>
              </w:rPr>
              <w:t>is closely monitoring the possible</w:t>
            </w:r>
            <w:r w:rsidR="00C14C68">
              <w:rPr>
                <w:rFonts w:ascii="Arial" w:eastAsia="Arial" w:hAnsi="Arial" w:cs="Arial"/>
                <w:color w:val="auto"/>
                <w:sz w:val="20"/>
                <w:szCs w:val="24"/>
              </w:rPr>
              <w:t xml:space="preserve"> </w:t>
            </w:r>
            <w:r w:rsidR="00C14C68" w:rsidRPr="00C14C68">
              <w:rPr>
                <w:rFonts w:ascii="Arial" w:eastAsia="Arial" w:hAnsi="Arial" w:cs="Arial"/>
                <w:color w:val="auto"/>
                <w:sz w:val="20"/>
                <w:szCs w:val="24"/>
              </w:rPr>
              <w:t xml:space="preserve">effects of Severe Tropical Storm “KAMMURI”, even outside PAR, and in close coordination with the Office of Civil Defense (OCD) Region </w:t>
            </w:r>
            <w:r w:rsidR="00C14C68">
              <w:rPr>
                <w:rFonts w:ascii="Arial" w:eastAsia="Arial" w:hAnsi="Arial" w:cs="Arial"/>
                <w:color w:val="auto"/>
                <w:sz w:val="20"/>
                <w:szCs w:val="24"/>
              </w:rPr>
              <w:t>I</w:t>
            </w:r>
            <w:r w:rsidR="00C14C68" w:rsidRPr="00C14C68">
              <w:rPr>
                <w:rFonts w:ascii="Arial" w:eastAsia="Arial" w:hAnsi="Arial" w:cs="Arial"/>
                <w:color w:val="auto"/>
                <w:sz w:val="20"/>
                <w:szCs w:val="24"/>
              </w:rPr>
              <w:t>.</w:t>
            </w:r>
          </w:p>
          <w:p w:rsidR="00262F9E" w:rsidRPr="00262F9E" w:rsidRDefault="00262F9E" w:rsidP="00262F9E">
            <w:pPr>
              <w:pStyle w:val="ListParagraph"/>
              <w:numPr>
                <w:ilvl w:val="0"/>
                <w:numId w:val="1"/>
              </w:numPr>
              <w:spacing w:after="0" w:line="240" w:lineRule="auto"/>
              <w:ind w:left="317"/>
              <w:jc w:val="both"/>
              <w:rPr>
                <w:rFonts w:ascii="Arial" w:eastAsia="Arial" w:hAnsi="Arial" w:cs="Arial"/>
                <w:color w:val="auto"/>
                <w:sz w:val="20"/>
                <w:szCs w:val="24"/>
              </w:rPr>
            </w:pPr>
            <w:r w:rsidRPr="00262F9E">
              <w:rPr>
                <w:rFonts w:ascii="Arial" w:eastAsia="Arial" w:hAnsi="Arial" w:cs="Arial"/>
                <w:color w:val="auto"/>
                <w:sz w:val="20"/>
                <w:szCs w:val="24"/>
              </w:rPr>
              <w:t>Provincial Operations Offices (POOs) are in close coordination with the different Provincial/City/Municipal Disaster Risk Reduction and Management Councils (P/C/MDRRMCs) and Provincial/City/Municipal Social Welfare and Development Offices (P/C/MSWDOs) to monitor the adverse effects that might be brought by the weather disturbance.</w:t>
            </w:r>
          </w:p>
        </w:tc>
      </w:tr>
    </w:tbl>
    <w:p w:rsidR="008F63A8" w:rsidRDefault="008F63A8" w:rsidP="00843A49">
      <w:pPr>
        <w:spacing w:after="0" w:line="240" w:lineRule="auto"/>
        <w:contextualSpacing/>
        <w:rPr>
          <w:rFonts w:ascii="Arial" w:eastAsia="Arial" w:hAnsi="Arial" w:cs="Arial"/>
          <w:b/>
          <w:sz w:val="24"/>
          <w:szCs w:val="24"/>
        </w:rPr>
      </w:pPr>
    </w:p>
    <w:p w:rsidR="00BC4B37" w:rsidRDefault="00BC4B37" w:rsidP="00843A49">
      <w:pPr>
        <w:spacing w:after="0" w:line="240" w:lineRule="auto"/>
        <w:contextualSpacing/>
        <w:rPr>
          <w:rFonts w:ascii="Arial" w:eastAsia="Arial" w:hAnsi="Arial" w:cs="Arial"/>
          <w:b/>
          <w:sz w:val="24"/>
          <w:szCs w:val="24"/>
        </w:rPr>
      </w:pPr>
    </w:p>
    <w:p w:rsidR="00BC4B37" w:rsidRDefault="00BC4B37" w:rsidP="00843A49">
      <w:pPr>
        <w:spacing w:after="0" w:line="240" w:lineRule="auto"/>
        <w:contextualSpacing/>
        <w:rPr>
          <w:rFonts w:ascii="Arial" w:eastAsia="Arial" w:hAnsi="Arial" w:cs="Arial"/>
          <w:b/>
          <w:sz w:val="24"/>
          <w:szCs w:val="24"/>
        </w:rPr>
      </w:pPr>
    </w:p>
    <w:p w:rsidR="00BC4B37" w:rsidRDefault="00BC4B37" w:rsidP="00843A49">
      <w:pPr>
        <w:spacing w:after="0" w:line="240" w:lineRule="auto"/>
        <w:contextualSpacing/>
        <w:rPr>
          <w:rFonts w:ascii="Arial" w:eastAsia="Arial" w:hAnsi="Arial" w:cs="Arial"/>
          <w:b/>
          <w:sz w:val="24"/>
          <w:szCs w:val="24"/>
        </w:rPr>
      </w:pPr>
    </w:p>
    <w:p w:rsidR="00BC4B37" w:rsidRDefault="00BC4B37" w:rsidP="00843A49">
      <w:pPr>
        <w:spacing w:after="0" w:line="240" w:lineRule="auto"/>
        <w:contextualSpacing/>
        <w:rPr>
          <w:rFonts w:ascii="Arial" w:eastAsia="Arial" w:hAnsi="Arial" w:cs="Arial"/>
          <w:b/>
          <w:sz w:val="24"/>
          <w:szCs w:val="24"/>
        </w:rPr>
      </w:pPr>
    </w:p>
    <w:p w:rsidR="00FD0D6D" w:rsidRDefault="00FD0D6D" w:rsidP="00FD0D6D">
      <w:pPr>
        <w:spacing w:after="0" w:line="240" w:lineRule="auto"/>
        <w:contextualSpacing/>
        <w:rPr>
          <w:rFonts w:ascii="Arial" w:eastAsia="Arial" w:hAnsi="Arial" w:cs="Arial"/>
          <w:b/>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690"/>
        <w:gridCol w:w="12665"/>
      </w:tblGrid>
      <w:tr w:rsidR="00FD0D6D" w:rsidRPr="00D717CF" w:rsidTr="00C07233">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D717CF" w:rsidRDefault="00FD0D6D" w:rsidP="00C0723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D717CF" w:rsidRDefault="00FD0D6D" w:rsidP="00C0723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D0D6D" w:rsidRPr="00D717CF" w:rsidTr="00C07233">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187325" w:rsidRDefault="00801667" w:rsidP="0080166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bookmarkStart w:id="9" w:name="_GoBack" w:colFirst="0" w:colLast="1"/>
            <w:r w:rsidRPr="00187325">
              <w:rPr>
                <w:rFonts w:ascii="Arial" w:eastAsia="Arial" w:hAnsi="Arial" w:cs="Arial"/>
                <w:color w:val="0070C0"/>
                <w:sz w:val="20"/>
                <w:szCs w:val="24"/>
              </w:rPr>
              <w:t xml:space="preserve">29 </w:t>
            </w:r>
            <w:r w:rsidR="00FD0D6D" w:rsidRPr="00187325">
              <w:rPr>
                <w:rFonts w:ascii="Arial" w:eastAsia="Arial" w:hAnsi="Arial" w:cs="Arial"/>
                <w:color w:val="0070C0"/>
                <w:sz w:val="20"/>
                <w:szCs w:val="24"/>
              </w:rPr>
              <w:t>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5D08" w:rsidRPr="00187325" w:rsidRDefault="00FD0D6D" w:rsidP="007C5D08">
            <w:pPr>
              <w:pStyle w:val="ListParagraph"/>
              <w:numPr>
                <w:ilvl w:val="0"/>
                <w:numId w:val="1"/>
              </w:numPr>
              <w:spacing w:after="0" w:line="240" w:lineRule="auto"/>
              <w:ind w:left="317"/>
              <w:jc w:val="both"/>
              <w:rPr>
                <w:rFonts w:ascii="Arial" w:eastAsia="Arial" w:hAnsi="Arial" w:cs="Arial"/>
                <w:color w:val="0070C0"/>
                <w:sz w:val="20"/>
                <w:szCs w:val="24"/>
              </w:rPr>
            </w:pPr>
            <w:r w:rsidRPr="00187325">
              <w:rPr>
                <w:rFonts w:ascii="Arial" w:eastAsia="Arial" w:hAnsi="Arial" w:cs="Arial"/>
                <w:color w:val="0070C0"/>
                <w:sz w:val="20"/>
                <w:szCs w:val="24"/>
              </w:rPr>
              <w:t xml:space="preserve">DSWD-FO </w:t>
            </w:r>
            <w:r w:rsidRPr="00187325">
              <w:rPr>
                <w:rFonts w:ascii="Arial" w:eastAsia="Arial" w:hAnsi="Arial" w:cs="Arial"/>
                <w:color w:val="0070C0"/>
                <w:sz w:val="20"/>
                <w:szCs w:val="24"/>
              </w:rPr>
              <w:t xml:space="preserve">CALABARZON </w:t>
            </w:r>
            <w:r w:rsidRPr="00187325">
              <w:rPr>
                <w:rFonts w:ascii="Arial" w:eastAsia="Arial" w:hAnsi="Arial" w:cs="Arial"/>
                <w:color w:val="0070C0"/>
                <w:sz w:val="20"/>
                <w:szCs w:val="24"/>
              </w:rPr>
              <w:t>Emergency Operations Center is already activated to</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 xml:space="preserve">monitor the possible effects of TY </w:t>
            </w:r>
            <w:proofErr w:type="spellStart"/>
            <w:r w:rsidRPr="00187325">
              <w:rPr>
                <w:rFonts w:ascii="Arial" w:eastAsia="Arial" w:hAnsi="Arial" w:cs="Arial"/>
                <w:color w:val="0070C0"/>
                <w:sz w:val="20"/>
                <w:szCs w:val="24"/>
              </w:rPr>
              <w:t>Kammuri.</w:t>
            </w:r>
            <w:proofErr w:type="spellEnd"/>
          </w:p>
          <w:p w:rsidR="007C5D08" w:rsidRPr="00187325" w:rsidRDefault="00FD0D6D" w:rsidP="007C5D08">
            <w:pPr>
              <w:pStyle w:val="ListParagraph"/>
              <w:numPr>
                <w:ilvl w:val="0"/>
                <w:numId w:val="1"/>
              </w:numPr>
              <w:spacing w:after="0" w:line="240" w:lineRule="auto"/>
              <w:ind w:left="317"/>
              <w:jc w:val="both"/>
              <w:rPr>
                <w:rFonts w:ascii="Arial" w:eastAsia="Arial" w:hAnsi="Arial" w:cs="Arial"/>
                <w:color w:val="0070C0"/>
                <w:sz w:val="20"/>
                <w:szCs w:val="24"/>
              </w:rPr>
            </w:pPr>
            <w:r w:rsidRPr="00187325">
              <w:rPr>
                <w:rFonts w:ascii="Arial" w:eastAsia="Arial" w:hAnsi="Arial" w:cs="Arial"/>
                <w:color w:val="0070C0"/>
                <w:sz w:val="20"/>
                <w:szCs w:val="24"/>
              </w:rPr>
              <w:t>DSWD-FO CALABARZON</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has constant communication with the Local Social Welfare and</w:t>
            </w:r>
            <w:r w:rsidR="007C5D08"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Development Offices (LSWDOs) with pre-disaster assessments being</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conducted.</w:t>
            </w:r>
          </w:p>
          <w:p w:rsidR="007C5D08" w:rsidRPr="00187325" w:rsidRDefault="007C5D08" w:rsidP="007C5D08">
            <w:pPr>
              <w:pStyle w:val="ListParagraph"/>
              <w:numPr>
                <w:ilvl w:val="0"/>
                <w:numId w:val="1"/>
              </w:numPr>
              <w:spacing w:after="0" w:line="240" w:lineRule="auto"/>
              <w:ind w:left="317"/>
              <w:jc w:val="both"/>
              <w:rPr>
                <w:rFonts w:ascii="Arial" w:eastAsia="Arial" w:hAnsi="Arial" w:cs="Arial"/>
                <w:color w:val="0070C0"/>
                <w:sz w:val="20"/>
                <w:szCs w:val="24"/>
              </w:rPr>
            </w:pPr>
            <w:r w:rsidRPr="00187325">
              <w:rPr>
                <w:rFonts w:ascii="Arial" w:eastAsia="Arial" w:hAnsi="Arial" w:cs="Arial"/>
                <w:color w:val="0070C0"/>
                <w:sz w:val="20"/>
                <w:szCs w:val="24"/>
              </w:rPr>
              <w:t>DSWD-FO CALABARZON</w:t>
            </w:r>
            <w:r w:rsidRPr="00187325">
              <w:rPr>
                <w:rFonts w:ascii="Arial" w:eastAsia="Arial" w:hAnsi="Arial" w:cs="Arial"/>
                <w:color w:val="0070C0"/>
                <w:sz w:val="20"/>
                <w:szCs w:val="24"/>
              </w:rPr>
              <w:t xml:space="preserve"> is in </w:t>
            </w:r>
            <w:r w:rsidRPr="00187325">
              <w:rPr>
                <w:rFonts w:ascii="Arial" w:eastAsia="Arial" w:hAnsi="Arial" w:cs="Arial"/>
                <w:color w:val="0070C0"/>
                <w:sz w:val="20"/>
                <w:szCs w:val="24"/>
              </w:rPr>
              <w:t>close coordination with the Local Government Units</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(LGUs) with regards to the preparedness efforts undertaken in the Flood,</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Landslide and Storm Surge prone areas.</w:t>
            </w:r>
          </w:p>
          <w:p w:rsidR="00D172A7" w:rsidRPr="00187325" w:rsidRDefault="007C5D08" w:rsidP="00D172A7">
            <w:pPr>
              <w:pStyle w:val="ListParagraph"/>
              <w:numPr>
                <w:ilvl w:val="0"/>
                <w:numId w:val="1"/>
              </w:numPr>
              <w:spacing w:after="0" w:line="240" w:lineRule="auto"/>
              <w:ind w:left="317"/>
              <w:jc w:val="both"/>
              <w:rPr>
                <w:rFonts w:ascii="Arial" w:eastAsia="Arial" w:hAnsi="Arial" w:cs="Arial"/>
                <w:color w:val="0070C0"/>
                <w:sz w:val="20"/>
                <w:szCs w:val="24"/>
              </w:rPr>
            </w:pPr>
            <w:r w:rsidRPr="00187325">
              <w:rPr>
                <w:rFonts w:ascii="Arial" w:eastAsia="Arial" w:hAnsi="Arial" w:cs="Arial"/>
                <w:color w:val="0070C0"/>
                <w:sz w:val="20"/>
                <w:szCs w:val="24"/>
              </w:rPr>
              <w:t>DSWD-FO CALABARZON</w:t>
            </w:r>
            <w:r w:rsidRPr="00187325">
              <w:rPr>
                <w:rFonts w:ascii="Arial" w:eastAsia="Arial" w:hAnsi="Arial" w:cs="Arial"/>
                <w:color w:val="0070C0"/>
                <w:sz w:val="20"/>
                <w:szCs w:val="24"/>
              </w:rPr>
              <w:t xml:space="preserve"> c</w:t>
            </w:r>
            <w:r w:rsidRPr="00187325">
              <w:rPr>
                <w:rFonts w:ascii="Arial" w:eastAsia="Arial" w:hAnsi="Arial" w:cs="Arial"/>
                <w:color w:val="0070C0"/>
                <w:sz w:val="20"/>
                <w:szCs w:val="24"/>
              </w:rPr>
              <w:t>oordinated with SWAD Team Leaders and Provincial Action Team of</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the CALABARZON and advised them to monitor and coordinate with</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 xml:space="preserve">the LGUs to gather reports on the possible effects of Typhoon </w:t>
            </w:r>
            <w:proofErr w:type="spellStart"/>
            <w:r w:rsidRPr="00187325">
              <w:rPr>
                <w:rFonts w:ascii="Arial" w:eastAsia="Arial" w:hAnsi="Arial" w:cs="Arial"/>
                <w:color w:val="0070C0"/>
                <w:sz w:val="20"/>
                <w:szCs w:val="24"/>
              </w:rPr>
              <w:t>Kammuri.</w:t>
            </w:r>
            <w:proofErr w:type="spellEnd"/>
          </w:p>
          <w:p w:rsidR="00F9755C" w:rsidRPr="00187325" w:rsidRDefault="00D172A7" w:rsidP="00D172A7">
            <w:pPr>
              <w:pStyle w:val="ListParagraph"/>
              <w:numPr>
                <w:ilvl w:val="0"/>
                <w:numId w:val="1"/>
              </w:numPr>
              <w:spacing w:after="0" w:line="240" w:lineRule="auto"/>
              <w:ind w:left="317"/>
              <w:jc w:val="both"/>
              <w:rPr>
                <w:rFonts w:ascii="Arial" w:eastAsia="Arial" w:hAnsi="Arial" w:cs="Arial"/>
                <w:color w:val="0070C0"/>
                <w:sz w:val="20"/>
                <w:szCs w:val="24"/>
              </w:rPr>
            </w:pPr>
            <w:r w:rsidRPr="00187325">
              <w:rPr>
                <w:rFonts w:ascii="Arial" w:eastAsia="Arial" w:hAnsi="Arial" w:cs="Arial"/>
                <w:color w:val="0070C0"/>
                <w:sz w:val="20"/>
                <w:szCs w:val="24"/>
              </w:rPr>
              <w:t>DSWD-FO CALABARZON</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have coordinated with the Administrative Division to ensure</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that the Disaster Response Vehicle and the six-wheeler wing van is readily</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available to transport personnel and goods to disaster-stricken areas</w:t>
            </w:r>
            <w:r w:rsidRPr="00187325">
              <w:rPr>
                <w:rFonts w:ascii="Arial" w:eastAsia="Arial" w:hAnsi="Arial" w:cs="Arial"/>
                <w:color w:val="0070C0"/>
                <w:sz w:val="20"/>
                <w:szCs w:val="24"/>
              </w:rPr>
              <w:t xml:space="preserve"> </w:t>
            </w:r>
            <w:r w:rsidRPr="00187325">
              <w:rPr>
                <w:rFonts w:ascii="Arial" w:eastAsia="Arial" w:hAnsi="Arial" w:cs="Arial"/>
                <w:color w:val="0070C0"/>
                <w:sz w:val="20"/>
                <w:szCs w:val="24"/>
              </w:rPr>
              <w:t>should need arises.</w:t>
            </w:r>
          </w:p>
        </w:tc>
      </w:tr>
      <w:bookmarkEnd w:id="9"/>
    </w:tbl>
    <w:p w:rsidR="00FD0D6D" w:rsidRDefault="00FD0D6D" w:rsidP="00843A49">
      <w:pPr>
        <w:spacing w:after="0" w:line="240" w:lineRule="auto"/>
        <w:contextualSpacing/>
        <w:rPr>
          <w:rFonts w:ascii="Arial" w:eastAsia="Arial" w:hAnsi="Arial" w:cs="Arial"/>
          <w:b/>
          <w:sz w:val="24"/>
          <w:szCs w:val="24"/>
        </w:rPr>
      </w:pPr>
    </w:p>
    <w:p w:rsidR="00FC633C" w:rsidRDefault="00FC633C"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690"/>
        <w:gridCol w:w="12665"/>
      </w:tblGrid>
      <w:tr w:rsidR="00FC633C" w:rsidRPr="00D717CF"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C633C" w:rsidRPr="00D717CF"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E66E77"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E66E77">
              <w:rPr>
                <w:rFonts w:ascii="Arial" w:eastAsia="Arial" w:hAnsi="Arial" w:cs="Arial"/>
                <w:color w:val="auto"/>
                <w:sz w:val="20"/>
                <w:szCs w:val="24"/>
              </w:rPr>
              <w:t>28</w:t>
            </w:r>
            <w:r w:rsidR="00FC633C" w:rsidRPr="00E66E77">
              <w:rPr>
                <w:rFonts w:ascii="Arial" w:eastAsia="Arial" w:hAnsi="Arial" w:cs="Arial"/>
                <w:color w:val="auto"/>
                <w:sz w:val="20"/>
                <w:szCs w:val="24"/>
              </w:rPr>
              <w:t xml:space="preserve">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Pr="00E66E77" w:rsidRDefault="002C7253" w:rsidP="00843A49">
            <w:pPr>
              <w:pStyle w:val="ListParagraph"/>
              <w:numPr>
                <w:ilvl w:val="0"/>
                <w:numId w:val="1"/>
              </w:numPr>
              <w:spacing w:after="0" w:line="240" w:lineRule="auto"/>
              <w:ind w:left="317"/>
              <w:jc w:val="both"/>
              <w:rPr>
                <w:rFonts w:ascii="Arial" w:eastAsia="Arial" w:hAnsi="Arial" w:cs="Arial"/>
                <w:color w:val="auto"/>
                <w:sz w:val="20"/>
                <w:szCs w:val="24"/>
              </w:rPr>
            </w:pPr>
            <w:r w:rsidRPr="00E66E77">
              <w:rPr>
                <w:rFonts w:ascii="Arial" w:eastAsia="Arial" w:hAnsi="Arial" w:cs="Arial"/>
                <w:color w:val="auto"/>
                <w:sz w:val="20"/>
                <w:szCs w:val="24"/>
              </w:rPr>
              <w:t xml:space="preserve">DSWD-FO </w:t>
            </w:r>
            <w:r w:rsidR="00443CD3" w:rsidRPr="00E66E77">
              <w:rPr>
                <w:rFonts w:ascii="Arial" w:eastAsia="Arial" w:hAnsi="Arial" w:cs="Arial"/>
                <w:color w:val="auto"/>
                <w:sz w:val="20"/>
                <w:szCs w:val="24"/>
              </w:rPr>
              <w:t>MIMAROPA alerted all P/C/M QRT in five provinces of MIMAROPA to regularly monitor the situations in the area.</w:t>
            </w:r>
          </w:p>
          <w:p w:rsidR="00443CD3" w:rsidRPr="00E66E77" w:rsidRDefault="002C7253" w:rsidP="00843A49">
            <w:pPr>
              <w:pStyle w:val="ListParagraph"/>
              <w:numPr>
                <w:ilvl w:val="0"/>
                <w:numId w:val="1"/>
              </w:numPr>
              <w:spacing w:after="0" w:line="240" w:lineRule="auto"/>
              <w:ind w:left="317"/>
              <w:jc w:val="both"/>
              <w:rPr>
                <w:rFonts w:ascii="Arial" w:eastAsia="Arial" w:hAnsi="Arial" w:cs="Arial"/>
                <w:color w:val="auto"/>
                <w:sz w:val="20"/>
                <w:szCs w:val="24"/>
              </w:rPr>
            </w:pPr>
            <w:r w:rsidRPr="00E66E77">
              <w:rPr>
                <w:rFonts w:ascii="Arial" w:eastAsia="Arial" w:hAnsi="Arial" w:cs="Arial"/>
                <w:color w:val="auto"/>
                <w:sz w:val="20"/>
                <w:szCs w:val="24"/>
              </w:rPr>
              <w:t>DSWD-</w:t>
            </w:r>
            <w:r w:rsidR="00443CD3" w:rsidRPr="00E66E77">
              <w:rPr>
                <w:rFonts w:ascii="Arial" w:eastAsia="Arial" w:hAnsi="Arial" w:cs="Arial"/>
                <w:color w:val="auto"/>
                <w:sz w:val="20"/>
                <w:szCs w:val="24"/>
              </w:rPr>
              <w:t>FO</w:t>
            </w:r>
            <w:r w:rsidRPr="00E66E77">
              <w:rPr>
                <w:rFonts w:ascii="Arial" w:eastAsia="Arial" w:hAnsi="Arial" w:cs="Arial"/>
                <w:color w:val="auto"/>
                <w:sz w:val="20"/>
                <w:szCs w:val="24"/>
              </w:rPr>
              <w:t xml:space="preserve"> </w:t>
            </w:r>
            <w:r w:rsidR="00443CD3" w:rsidRPr="00E66E77">
              <w:rPr>
                <w:rFonts w:ascii="Arial" w:eastAsia="Arial" w:hAnsi="Arial" w:cs="Arial"/>
                <w:color w:val="auto"/>
                <w:sz w:val="20"/>
                <w:szCs w:val="24"/>
              </w:rPr>
              <w:t>MIMAROPA is in close coordination with the Office of Civil Defense and RDDRMC MIMAROPA for any warning signal updates.</w:t>
            </w:r>
          </w:p>
          <w:p w:rsidR="00111DA0" w:rsidRPr="00E66E77" w:rsidRDefault="00443CD3" w:rsidP="00843A49">
            <w:pPr>
              <w:pStyle w:val="ListParagraph"/>
              <w:numPr>
                <w:ilvl w:val="0"/>
                <w:numId w:val="1"/>
              </w:numPr>
              <w:spacing w:after="0" w:line="240" w:lineRule="auto"/>
              <w:ind w:left="317"/>
              <w:jc w:val="both"/>
              <w:rPr>
                <w:rFonts w:ascii="Arial" w:eastAsia="Arial" w:hAnsi="Arial" w:cs="Arial"/>
                <w:color w:val="auto"/>
                <w:sz w:val="20"/>
                <w:szCs w:val="24"/>
              </w:rPr>
            </w:pPr>
            <w:r w:rsidRPr="00E66E77">
              <w:rPr>
                <w:rFonts w:ascii="Arial" w:eastAsia="Arial" w:hAnsi="Arial" w:cs="Arial"/>
                <w:color w:val="auto"/>
                <w:sz w:val="20"/>
                <w:szCs w:val="24"/>
              </w:rPr>
              <w:t>All members of Rapid Emergency Telecommunications Team are on on-call and standby status ready for deployment if needed.</w:t>
            </w:r>
          </w:p>
          <w:p w:rsidR="00111DA0" w:rsidRPr="00E66E77" w:rsidRDefault="002C7253" w:rsidP="00843A49">
            <w:pPr>
              <w:pStyle w:val="ListParagraph"/>
              <w:numPr>
                <w:ilvl w:val="0"/>
                <w:numId w:val="1"/>
              </w:numPr>
              <w:spacing w:after="0" w:line="240" w:lineRule="auto"/>
              <w:ind w:left="317"/>
              <w:jc w:val="both"/>
              <w:rPr>
                <w:rFonts w:ascii="Arial" w:eastAsia="Arial" w:hAnsi="Arial" w:cs="Arial"/>
                <w:color w:val="auto"/>
                <w:sz w:val="20"/>
                <w:szCs w:val="24"/>
              </w:rPr>
            </w:pPr>
            <w:r w:rsidRPr="00E66E77">
              <w:rPr>
                <w:rFonts w:ascii="Arial" w:eastAsia="Arial" w:hAnsi="Arial" w:cs="Arial"/>
                <w:color w:val="auto"/>
                <w:sz w:val="20"/>
                <w:szCs w:val="24"/>
              </w:rPr>
              <w:t>DSWD-</w:t>
            </w:r>
            <w:r w:rsidR="00111DA0" w:rsidRPr="00E66E77">
              <w:rPr>
                <w:rFonts w:ascii="Arial" w:eastAsia="Arial" w:hAnsi="Arial" w:cs="Arial"/>
                <w:color w:val="auto"/>
                <w:sz w:val="20"/>
                <w:szCs w:val="24"/>
              </w:rPr>
              <w:t>FO</w:t>
            </w:r>
            <w:r w:rsidRPr="00E66E77">
              <w:rPr>
                <w:rFonts w:ascii="Arial" w:eastAsia="Arial" w:hAnsi="Arial" w:cs="Arial"/>
                <w:color w:val="auto"/>
                <w:sz w:val="20"/>
                <w:szCs w:val="24"/>
              </w:rPr>
              <w:t xml:space="preserve"> </w:t>
            </w:r>
            <w:r w:rsidR="00C36A63" w:rsidRPr="00E66E77">
              <w:rPr>
                <w:rFonts w:ascii="Arial" w:eastAsia="Arial" w:hAnsi="Arial" w:cs="Arial"/>
                <w:color w:val="auto"/>
                <w:sz w:val="20"/>
                <w:szCs w:val="24"/>
              </w:rPr>
              <w:t>MIMAROPA e</w:t>
            </w:r>
            <w:r w:rsidR="00111DA0" w:rsidRPr="00E66E77">
              <w:rPr>
                <w:rFonts w:ascii="Arial" w:eastAsia="Arial" w:hAnsi="Arial" w:cs="Arial"/>
                <w:color w:val="auto"/>
                <w:sz w:val="20"/>
                <w:szCs w:val="24"/>
              </w:rPr>
              <w:t>nsured that the Rapid Emergency Telecommunications Equipment (GX Terminal, BGAN Terminals and Satellite Phones) are in good condition and ready for deployment to areas that will experience potential emergencies.</w:t>
            </w:r>
          </w:p>
          <w:p w:rsidR="00111DA0" w:rsidRPr="00E66E77" w:rsidRDefault="002C7253" w:rsidP="00843A49">
            <w:pPr>
              <w:pStyle w:val="ListParagraph"/>
              <w:numPr>
                <w:ilvl w:val="0"/>
                <w:numId w:val="1"/>
              </w:numPr>
              <w:spacing w:after="0" w:line="240" w:lineRule="auto"/>
              <w:ind w:left="317"/>
              <w:jc w:val="both"/>
              <w:rPr>
                <w:rFonts w:ascii="Arial" w:eastAsia="Arial" w:hAnsi="Arial" w:cs="Arial"/>
                <w:color w:val="auto"/>
                <w:sz w:val="20"/>
                <w:szCs w:val="24"/>
              </w:rPr>
            </w:pPr>
            <w:r w:rsidRPr="00E66E77">
              <w:rPr>
                <w:rFonts w:ascii="Arial" w:eastAsia="Arial" w:hAnsi="Arial" w:cs="Arial"/>
                <w:color w:val="auto"/>
                <w:sz w:val="20"/>
                <w:szCs w:val="24"/>
              </w:rPr>
              <w:t>DSWD-</w:t>
            </w:r>
            <w:r w:rsidR="00111DA0" w:rsidRPr="00E66E77">
              <w:rPr>
                <w:rFonts w:ascii="Arial" w:eastAsia="Arial" w:hAnsi="Arial" w:cs="Arial"/>
                <w:color w:val="auto"/>
                <w:sz w:val="20"/>
                <w:szCs w:val="24"/>
              </w:rPr>
              <w:t>FO</w:t>
            </w:r>
            <w:r w:rsidRPr="00E66E77">
              <w:rPr>
                <w:rFonts w:ascii="Arial" w:eastAsia="Arial" w:hAnsi="Arial" w:cs="Arial"/>
                <w:color w:val="auto"/>
                <w:sz w:val="20"/>
                <w:szCs w:val="24"/>
              </w:rPr>
              <w:t xml:space="preserve"> </w:t>
            </w:r>
            <w:r w:rsidR="00C36A63" w:rsidRPr="00E66E77">
              <w:rPr>
                <w:rFonts w:ascii="Arial" w:eastAsia="Arial" w:hAnsi="Arial" w:cs="Arial"/>
                <w:color w:val="auto"/>
                <w:sz w:val="20"/>
                <w:szCs w:val="24"/>
              </w:rPr>
              <w:t>MIMAROPA e</w:t>
            </w:r>
            <w:r w:rsidR="00111DA0" w:rsidRPr="00E66E77">
              <w:rPr>
                <w:rFonts w:ascii="Arial" w:eastAsia="Arial" w:hAnsi="Arial" w:cs="Arial"/>
                <w:color w:val="auto"/>
                <w:sz w:val="20"/>
                <w:szCs w:val="24"/>
              </w:rPr>
              <w:t>nsured that there is an on-call truck available for delivery of goods and equipment to areas that will be affected</w:t>
            </w:r>
            <w:r w:rsidR="0089011E" w:rsidRPr="00E66E77">
              <w:rPr>
                <w:rFonts w:ascii="Arial" w:eastAsia="Arial" w:hAnsi="Arial" w:cs="Arial"/>
                <w:color w:val="auto"/>
                <w:sz w:val="20"/>
                <w:szCs w:val="24"/>
              </w:rPr>
              <w:t>.</w:t>
            </w:r>
          </w:p>
        </w:tc>
      </w:tr>
    </w:tbl>
    <w:p w:rsidR="00BC4B37" w:rsidRDefault="00BC4B37" w:rsidP="00BC4B37">
      <w:pPr>
        <w:spacing w:after="0" w:line="240" w:lineRule="auto"/>
        <w:contextualSpacing/>
        <w:rPr>
          <w:rFonts w:ascii="Arial" w:eastAsia="Arial" w:hAnsi="Arial" w:cs="Arial"/>
          <w:b/>
          <w:sz w:val="24"/>
          <w:szCs w:val="24"/>
        </w:rPr>
      </w:pPr>
    </w:p>
    <w:p w:rsidR="00BC4B37" w:rsidRDefault="00BC4B37" w:rsidP="00BC4B37">
      <w:pPr>
        <w:spacing w:after="0" w:line="240" w:lineRule="auto"/>
        <w:contextualSpacing/>
        <w:rPr>
          <w:rFonts w:ascii="Arial" w:eastAsia="Arial" w:hAnsi="Arial" w:cs="Arial"/>
          <w:b/>
          <w:sz w:val="24"/>
          <w:szCs w:val="24"/>
        </w:rPr>
      </w:pPr>
      <w:r w:rsidRPr="00BE43F9">
        <w:rPr>
          <w:rFonts w:ascii="Arial" w:eastAsia="Arial" w:hAnsi="Arial" w:cs="Arial"/>
          <w:b/>
          <w:sz w:val="24"/>
          <w:szCs w:val="24"/>
        </w:rPr>
        <w:t>DSWD-FO</w:t>
      </w:r>
      <w:r>
        <w:rPr>
          <w:rFonts w:ascii="Arial" w:eastAsia="Arial" w:hAnsi="Arial" w:cs="Arial"/>
          <w:b/>
          <w:sz w:val="24"/>
          <w:szCs w:val="24"/>
        </w:rPr>
        <w:t xml:space="preserve"> V</w:t>
      </w:r>
    </w:p>
    <w:tbl>
      <w:tblPr>
        <w:tblW w:w="5000" w:type="pct"/>
        <w:tblLook w:val="0400" w:firstRow="0" w:lastRow="0" w:firstColumn="0" w:lastColumn="0" w:noHBand="0" w:noVBand="1"/>
      </w:tblPr>
      <w:tblGrid>
        <w:gridCol w:w="2690"/>
        <w:gridCol w:w="12665"/>
      </w:tblGrid>
      <w:tr w:rsidR="00BC4B37" w:rsidRPr="00D717CF" w:rsidTr="00F706F3">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717CF" w:rsidRDefault="00BC4B37"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717CF" w:rsidRDefault="00BC4B37"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C4B37" w:rsidRPr="00D717CF" w:rsidTr="00F706F3">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F92EC3" w:rsidRDefault="00F92EC3" w:rsidP="00F92EC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Pr>
                <w:rFonts w:ascii="Arial" w:eastAsia="Arial" w:hAnsi="Arial" w:cs="Arial"/>
                <w:color w:val="0070C0"/>
                <w:sz w:val="20"/>
                <w:szCs w:val="24"/>
              </w:rPr>
              <w:t xml:space="preserve">29 </w:t>
            </w:r>
            <w:r w:rsidR="00BC4B37" w:rsidRPr="00F92EC3">
              <w:rPr>
                <w:rFonts w:ascii="Arial" w:eastAsia="Arial" w:hAnsi="Arial" w:cs="Arial"/>
                <w:color w:val="0070C0"/>
                <w:sz w:val="20"/>
                <w:szCs w:val="24"/>
              </w:rPr>
              <w:t>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C4DBB" w:rsidRDefault="00BC4B37" w:rsidP="00CC4DBB">
            <w:pPr>
              <w:pStyle w:val="ListParagraph"/>
              <w:numPr>
                <w:ilvl w:val="0"/>
                <w:numId w:val="1"/>
              </w:numPr>
              <w:spacing w:after="0" w:line="240" w:lineRule="auto"/>
              <w:ind w:left="317"/>
              <w:jc w:val="both"/>
              <w:rPr>
                <w:rFonts w:ascii="Arial" w:eastAsia="Arial" w:hAnsi="Arial" w:cs="Arial"/>
                <w:color w:val="auto"/>
                <w:sz w:val="20"/>
                <w:szCs w:val="24"/>
              </w:rPr>
            </w:pPr>
            <w:r w:rsidRPr="00E66E77">
              <w:rPr>
                <w:rFonts w:ascii="Arial" w:eastAsia="Arial" w:hAnsi="Arial" w:cs="Arial"/>
                <w:color w:val="auto"/>
                <w:sz w:val="20"/>
                <w:szCs w:val="24"/>
              </w:rPr>
              <w:t xml:space="preserve">DSWD-FO </w:t>
            </w:r>
            <w:r w:rsidR="00CC4DBB">
              <w:rPr>
                <w:rFonts w:ascii="Arial" w:eastAsia="Arial" w:hAnsi="Arial" w:cs="Arial"/>
                <w:color w:val="auto"/>
                <w:sz w:val="20"/>
                <w:szCs w:val="24"/>
              </w:rPr>
              <w:t>V</w:t>
            </w:r>
            <w:r>
              <w:rPr>
                <w:rFonts w:ascii="Arial" w:eastAsia="Arial" w:hAnsi="Arial" w:cs="Arial"/>
                <w:color w:val="auto"/>
                <w:sz w:val="20"/>
                <w:szCs w:val="24"/>
              </w:rPr>
              <w:t xml:space="preserve"> </w:t>
            </w:r>
            <w:r w:rsidRPr="00C14C68">
              <w:rPr>
                <w:rFonts w:ascii="Arial" w:eastAsia="Arial" w:hAnsi="Arial" w:cs="Arial"/>
                <w:color w:val="auto"/>
                <w:sz w:val="20"/>
                <w:szCs w:val="24"/>
              </w:rPr>
              <w:t xml:space="preserve">is </w:t>
            </w:r>
            <w:r w:rsidR="00CC4DBB" w:rsidRPr="00C14C68">
              <w:rPr>
                <w:rFonts w:ascii="Arial" w:eastAsia="Arial" w:hAnsi="Arial" w:cs="Arial"/>
                <w:color w:val="auto"/>
                <w:sz w:val="20"/>
                <w:szCs w:val="24"/>
              </w:rPr>
              <w:t>c</w:t>
            </w:r>
            <w:r w:rsidR="00CC4DBB">
              <w:rPr>
                <w:rFonts w:ascii="Arial" w:eastAsia="Arial" w:hAnsi="Arial" w:cs="Arial"/>
                <w:color w:val="auto"/>
                <w:sz w:val="20"/>
                <w:szCs w:val="24"/>
              </w:rPr>
              <w:t>ontinuously</w:t>
            </w:r>
            <w:r w:rsidRPr="00C14C68">
              <w:rPr>
                <w:rFonts w:ascii="Arial" w:eastAsia="Arial" w:hAnsi="Arial" w:cs="Arial"/>
                <w:color w:val="auto"/>
                <w:sz w:val="20"/>
                <w:szCs w:val="24"/>
              </w:rPr>
              <w:t xml:space="preserve"> monitoring </w:t>
            </w:r>
            <w:r w:rsidR="00CC4DBB">
              <w:rPr>
                <w:rFonts w:ascii="Arial" w:eastAsia="Arial" w:hAnsi="Arial" w:cs="Arial"/>
                <w:color w:val="auto"/>
                <w:sz w:val="20"/>
                <w:szCs w:val="24"/>
              </w:rPr>
              <w:t>weather updates and information.</w:t>
            </w:r>
          </w:p>
          <w:p w:rsidR="00CC4DBB" w:rsidRDefault="00CC4DBB" w:rsidP="00CC4DBB">
            <w:pPr>
              <w:pStyle w:val="ListParagraph"/>
              <w:numPr>
                <w:ilvl w:val="0"/>
                <w:numId w:val="1"/>
              </w:numPr>
              <w:spacing w:after="0" w:line="240" w:lineRule="auto"/>
              <w:ind w:left="317"/>
              <w:jc w:val="both"/>
              <w:rPr>
                <w:rFonts w:ascii="Arial" w:eastAsia="Arial" w:hAnsi="Arial" w:cs="Arial"/>
                <w:color w:val="auto"/>
                <w:sz w:val="20"/>
                <w:szCs w:val="24"/>
              </w:rPr>
            </w:pPr>
            <w:r w:rsidRPr="00CC4DBB">
              <w:rPr>
                <w:rFonts w:ascii="Arial" w:eastAsia="Arial" w:hAnsi="Arial" w:cs="Arial"/>
                <w:color w:val="auto"/>
                <w:sz w:val="20"/>
                <w:szCs w:val="24"/>
              </w:rPr>
              <w:t xml:space="preserve">Resource Operation Section ensures the availability of family food packs and non-food items as need arises. </w:t>
            </w:r>
          </w:p>
          <w:p w:rsidR="00682EB7" w:rsidRDefault="00CC4DBB" w:rsidP="00682EB7">
            <w:pPr>
              <w:pStyle w:val="ListParagraph"/>
              <w:numPr>
                <w:ilvl w:val="0"/>
                <w:numId w:val="1"/>
              </w:numPr>
              <w:spacing w:after="0" w:line="240" w:lineRule="auto"/>
              <w:ind w:left="317"/>
              <w:jc w:val="both"/>
              <w:rPr>
                <w:rFonts w:ascii="Arial" w:eastAsia="Arial" w:hAnsi="Arial" w:cs="Arial"/>
                <w:color w:val="auto"/>
                <w:sz w:val="20"/>
                <w:szCs w:val="24"/>
              </w:rPr>
            </w:pPr>
            <w:r>
              <w:rPr>
                <w:rFonts w:ascii="Arial" w:eastAsia="Arial" w:hAnsi="Arial" w:cs="Arial"/>
                <w:color w:val="auto"/>
                <w:sz w:val="20"/>
                <w:szCs w:val="24"/>
              </w:rPr>
              <w:t>DSWD-</w:t>
            </w:r>
            <w:r w:rsidRPr="00CC4DBB">
              <w:rPr>
                <w:rFonts w:ascii="Arial" w:eastAsia="Arial" w:hAnsi="Arial" w:cs="Arial"/>
                <w:color w:val="auto"/>
                <w:sz w:val="20"/>
                <w:szCs w:val="24"/>
              </w:rPr>
              <w:t>FO V QRTs were alerted and advised to be prepared for augmentation support needed from the field and/or 24/7 duty at the DRMD Operation Center.</w:t>
            </w:r>
          </w:p>
          <w:p w:rsidR="00682EB7" w:rsidRPr="00682EB7" w:rsidRDefault="00682EB7" w:rsidP="00682EB7">
            <w:pPr>
              <w:pStyle w:val="ListParagraph"/>
              <w:numPr>
                <w:ilvl w:val="0"/>
                <w:numId w:val="1"/>
              </w:numPr>
              <w:spacing w:after="0" w:line="240" w:lineRule="auto"/>
              <w:ind w:left="317"/>
              <w:jc w:val="both"/>
              <w:rPr>
                <w:rFonts w:ascii="Arial" w:eastAsia="Arial" w:hAnsi="Arial" w:cs="Arial"/>
                <w:color w:val="auto"/>
                <w:sz w:val="20"/>
                <w:szCs w:val="24"/>
              </w:rPr>
            </w:pPr>
            <w:r w:rsidRPr="00682EB7">
              <w:rPr>
                <w:rFonts w:ascii="Arial" w:eastAsia="Arial" w:hAnsi="Arial" w:cs="Arial"/>
                <w:color w:val="auto"/>
                <w:sz w:val="20"/>
                <w:szCs w:val="24"/>
              </w:rPr>
              <w:t>PAT and MAT members in the 6 provinces are on standby and were instructed to coordinate with the P/MDRRMOs for status reports and updates.</w:t>
            </w:r>
          </w:p>
        </w:tc>
      </w:tr>
    </w:tbl>
    <w:p w:rsidR="00BC4B37" w:rsidRPr="00BC4B37" w:rsidRDefault="00BC4B37" w:rsidP="00843A49">
      <w:pPr>
        <w:spacing w:after="0" w:line="240" w:lineRule="auto"/>
        <w:contextualSpacing/>
        <w:rPr>
          <w:rFonts w:ascii="Arial" w:eastAsia="Arial" w:hAnsi="Arial" w:cs="Arial"/>
          <w:sz w:val="24"/>
          <w:szCs w:val="24"/>
        </w:rPr>
      </w:pPr>
    </w:p>
    <w:p w:rsidR="00C36A63" w:rsidRDefault="00C36A63"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VIII</w:t>
      </w:r>
    </w:p>
    <w:tbl>
      <w:tblPr>
        <w:tblW w:w="5000" w:type="pct"/>
        <w:tblLook w:val="0400" w:firstRow="0" w:lastRow="0" w:firstColumn="0" w:lastColumn="0" w:noHBand="0" w:noVBand="1"/>
      </w:tblPr>
      <w:tblGrid>
        <w:gridCol w:w="2690"/>
        <w:gridCol w:w="12665"/>
      </w:tblGrid>
      <w:tr w:rsidR="00C36A63" w:rsidRPr="00D717CF" w:rsidTr="00495693">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6A63" w:rsidRPr="00D717CF" w:rsidTr="00495693">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B2B66"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CB2B66">
              <w:rPr>
                <w:rFonts w:ascii="Arial" w:eastAsia="Arial" w:hAnsi="Arial" w:cs="Arial"/>
                <w:color w:val="auto"/>
                <w:sz w:val="20"/>
                <w:szCs w:val="24"/>
              </w:rPr>
              <w:t>28</w:t>
            </w:r>
            <w:r w:rsidR="00C36A63" w:rsidRPr="00CB2B66">
              <w:rPr>
                <w:rFonts w:ascii="Arial" w:eastAsia="Arial" w:hAnsi="Arial" w:cs="Arial"/>
                <w:color w:val="auto"/>
                <w:sz w:val="20"/>
                <w:szCs w:val="24"/>
              </w:rPr>
              <w:t xml:space="preserve">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B2B66" w:rsidRDefault="00C36A63" w:rsidP="00843A49">
            <w:pPr>
              <w:pStyle w:val="ListParagraph"/>
              <w:numPr>
                <w:ilvl w:val="0"/>
                <w:numId w:val="1"/>
              </w:numPr>
              <w:spacing w:after="0" w:line="240" w:lineRule="auto"/>
              <w:ind w:left="317"/>
              <w:jc w:val="both"/>
              <w:rPr>
                <w:rFonts w:ascii="Arial" w:eastAsia="Arial" w:hAnsi="Arial" w:cs="Arial"/>
                <w:color w:val="auto"/>
                <w:sz w:val="20"/>
                <w:szCs w:val="24"/>
              </w:rPr>
            </w:pPr>
            <w:r w:rsidRPr="00CB2B66">
              <w:rPr>
                <w:rFonts w:ascii="Arial" w:eastAsia="Arial" w:hAnsi="Arial" w:cs="Arial"/>
                <w:color w:val="auto"/>
                <w:sz w:val="20"/>
                <w:szCs w:val="24"/>
              </w:rPr>
              <w:t xml:space="preserve">DSWD-FO VIII </w:t>
            </w:r>
            <w:r w:rsidR="0089011E" w:rsidRPr="00CB2B66">
              <w:rPr>
                <w:rFonts w:ascii="Arial" w:eastAsia="Arial" w:hAnsi="Arial" w:cs="Arial"/>
                <w:color w:val="auto"/>
                <w:sz w:val="20"/>
                <w:szCs w:val="24"/>
              </w:rPr>
              <w:t>Disaster Response Management Division -</w:t>
            </w:r>
            <w:r w:rsidRPr="00CB2B66">
              <w:rPr>
                <w:rFonts w:ascii="Arial" w:eastAsia="Arial" w:hAnsi="Arial" w:cs="Arial"/>
                <w:color w:val="auto"/>
                <w:sz w:val="20"/>
                <w:szCs w:val="24"/>
              </w:rPr>
              <w:t>Disaster Response Information Management Section (</w:t>
            </w:r>
            <w:r w:rsidR="0089011E" w:rsidRPr="00CB2B66">
              <w:rPr>
                <w:rFonts w:ascii="Arial" w:eastAsia="Arial" w:hAnsi="Arial" w:cs="Arial"/>
                <w:color w:val="auto"/>
                <w:sz w:val="20"/>
                <w:szCs w:val="24"/>
              </w:rPr>
              <w:t>DRMD-</w:t>
            </w:r>
            <w:r w:rsidRPr="00CB2B66">
              <w:rPr>
                <w:rFonts w:ascii="Arial" w:eastAsia="Arial" w:hAnsi="Arial" w:cs="Arial"/>
                <w:color w:val="auto"/>
                <w:sz w:val="20"/>
                <w:szCs w:val="24"/>
              </w:rPr>
              <w:t>DRIMS) is monitoring the weather situation and is in close coordination with SWADTs, QRTs and PDOs for any eventualities on the ground</w:t>
            </w:r>
            <w:r w:rsidR="0089011E" w:rsidRPr="00CB2B66">
              <w:rPr>
                <w:rFonts w:ascii="Arial" w:eastAsia="Arial" w:hAnsi="Arial" w:cs="Arial"/>
                <w:color w:val="auto"/>
                <w:sz w:val="20"/>
                <w:szCs w:val="24"/>
              </w:rPr>
              <w:t>.</w:t>
            </w:r>
          </w:p>
          <w:p w:rsidR="00C36A63" w:rsidRPr="00CB2B66" w:rsidRDefault="00BC38FC" w:rsidP="00843A49">
            <w:pPr>
              <w:pStyle w:val="ListParagraph"/>
              <w:numPr>
                <w:ilvl w:val="0"/>
                <w:numId w:val="1"/>
              </w:numPr>
              <w:spacing w:after="0" w:line="240" w:lineRule="auto"/>
              <w:ind w:left="317"/>
              <w:jc w:val="both"/>
              <w:rPr>
                <w:rFonts w:ascii="Arial" w:eastAsia="Arial" w:hAnsi="Arial" w:cs="Arial"/>
                <w:color w:val="auto"/>
                <w:sz w:val="20"/>
                <w:szCs w:val="24"/>
              </w:rPr>
            </w:pPr>
            <w:r w:rsidRPr="00CB2B66">
              <w:rPr>
                <w:rFonts w:ascii="Arial" w:eastAsia="Arial" w:hAnsi="Arial" w:cs="Arial"/>
                <w:color w:val="auto"/>
                <w:sz w:val="20"/>
                <w:szCs w:val="24"/>
              </w:rPr>
              <w:t xml:space="preserve">All Quick Response Team (QRT) members and </w:t>
            </w:r>
            <w:r w:rsidR="0089011E" w:rsidRPr="00CB2B66">
              <w:rPr>
                <w:rFonts w:ascii="Arial" w:eastAsia="Arial" w:hAnsi="Arial" w:cs="Arial"/>
                <w:color w:val="auto"/>
                <w:sz w:val="20"/>
                <w:szCs w:val="24"/>
              </w:rPr>
              <w:t>DRMD</w:t>
            </w:r>
            <w:r w:rsidRPr="00CB2B66">
              <w:rPr>
                <w:rFonts w:ascii="Arial" w:eastAsia="Arial" w:hAnsi="Arial" w:cs="Arial"/>
                <w:color w:val="auto"/>
                <w:sz w:val="20"/>
                <w:szCs w:val="24"/>
              </w:rPr>
              <w:t xml:space="preserve"> </w:t>
            </w:r>
            <w:r w:rsidR="0089011E" w:rsidRPr="00CB2B66">
              <w:rPr>
                <w:rFonts w:ascii="Arial" w:eastAsia="Arial" w:hAnsi="Arial" w:cs="Arial"/>
                <w:color w:val="auto"/>
                <w:sz w:val="20"/>
                <w:szCs w:val="24"/>
              </w:rPr>
              <w:t xml:space="preserve">staff </w:t>
            </w:r>
            <w:r w:rsidRPr="00CB2B66">
              <w:rPr>
                <w:rFonts w:ascii="Arial" w:eastAsia="Arial" w:hAnsi="Arial" w:cs="Arial"/>
                <w:color w:val="auto"/>
                <w:sz w:val="20"/>
                <w:szCs w:val="24"/>
              </w:rPr>
              <w:t>are alerted in case augmentation is needed.</w:t>
            </w:r>
          </w:p>
          <w:p w:rsidR="00C36A63" w:rsidRPr="00CB2B66" w:rsidRDefault="00BC38FC" w:rsidP="00551824">
            <w:pPr>
              <w:pStyle w:val="ListParagraph"/>
              <w:numPr>
                <w:ilvl w:val="0"/>
                <w:numId w:val="1"/>
              </w:numPr>
              <w:spacing w:after="0" w:line="240" w:lineRule="auto"/>
              <w:ind w:left="317"/>
              <w:jc w:val="both"/>
              <w:rPr>
                <w:rFonts w:ascii="Arial" w:eastAsia="Arial" w:hAnsi="Arial" w:cs="Arial"/>
                <w:color w:val="auto"/>
                <w:sz w:val="20"/>
                <w:szCs w:val="24"/>
              </w:rPr>
            </w:pPr>
            <w:r w:rsidRPr="00CB2B66">
              <w:rPr>
                <w:rFonts w:ascii="Arial" w:eastAsia="Arial" w:hAnsi="Arial" w:cs="Arial"/>
                <w:color w:val="auto"/>
                <w:sz w:val="20"/>
                <w:szCs w:val="24"/>
              </w:rPr>
              <w:lastRenderedPageBreak/>
              <w:t xml:space="preserve">Regional Resource Operation Section (RROS) </w:t>
            </w:r>
            <w:r w:rsidR="0089011E" w:rsidRPr="00CB2B66">
              <w:rPr>
                <w:rFonts w:ascii="Arial" w:eastAsia="Arial" w:hAnsi="Arial" w:cs="Arial"/>
                <w:color w:val="auto"/>
                <w:sz w:val="20"/>
                <w:szCs w:val="24"/>
              </w:rPr>
              <w:t>is</w:t>
            </w:r>
            <w:r w:rsidRPr="00CB2B66">
              <w:rPr>
                <w:rFonts w:ascii="Arial" w:eastAsia="Arial" w:hAnsi="Arial" w:cs="Arial"/>
                <w:color w:val="auto"/>
                <w:sz w:val="20"/>
                <w:szCs w:val="24"/>
              </w:rPr>
              <w:t xml:space="preserve"> also alerted to ensure the readiness of dispatching </w:t>
            </w:r>
            <w:r w:rsidR="00551824" w:rsidRPr="00CB2B66">
              <w:rPr>
                <w:rFonts w:ascii="Arial" w:eastAsia="Arial" w:hAnsi="Arial" w:cs="Arial"/>
                <w:color w:val="auto"/>
                <w:sz w:val="20"/>
                <w:szCs w:val="24"/>
              </w:rPr>
              <w:t xml:space="preserve">the </w:t>
            </w:r>
            <w:r w:rsidR="0089011E" w:rsidRPr="00CB2B66">
              <w:rPr>
                <w:rFonts w:ascii="Arial" w:eastAsia="Arial" w:hAnsi="Arial" w:cs="Arial"/>
                <w:color w:val="auto"/>
                <w:sz w:val="20"/>
                <w:szCs w:val="24"/>
              </w:rPr>
              <w:t xml:space="preserve">food and non-food </w:t>
            </w:r>
            <w:r w:rsidRPr="00CB2B66">
              <w:rPr>
                <w:rFonts w:ascii="Arial" w:eastAsia="Arial" w:hAnsi="Arial" w:cs="Arial"/>
                <w:color w:val="auto"/>
                <w:sz w:val="20"/>
                <w:szCs w:val="24"/>
              </w:rPr>
              <w:t>commodities.</w:t>
            </w:r>
          </w:p>
        </w:tc>
      </w:tr>
    </w:tbl>
    <w:p w:rsidR="00E731CF" w:rsidRDefault="00E731CF" w:rsidP="00843A49">
      <w:pPr>
        <w:spacing w:after="0" w:line="240" w:lineRule="auto"/>
        <w:contextualSpacing/>
        <w:rPr>
          <w:rFonts w:ascii="Arial" w:eastAsia="Arial" w:hAnsi="Arial" w:cs="Arial"/>
          <w:b/>
          <w:sz w:val="24"/>
          <w:szCs w:val="24"/>
        </w:rPr>
      </w:pPr>
    </w:p>
    <w:p w:rsidR="00E16570" w:rsidRDefault="00E16570"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690"/>
        <w:gridCol w:w="12665"/>
      </w:tblGrid>
      <w:tr w:rsidR="00E16570" w:rsidRPr="00D717CF"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16570" w:rsidRPr="00D717CF" w:rsidTr="001E7A8D">
        <w:trPr>
          <w:trHeight w:val="162"/>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F422F8" w:rsidP="00A33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w:t>
            </w:r>
            <w:r w:rsidR="00A33279">
              <w:rPr>
                <w:rFonts w:ascii="Arial" w:eastAsia="Arial" w:hAnsi="Arial" w:cs="Arial"/>
                <w:color w:val="0070C0"/>
                <w:sz w:val="20"/>
                <w:szCs w:val="24"/>
              </w:rPr>
              <w:t>9</w:t>
            </w:r>
            <w:r w:rsidR="00C36A63" w:rsidRPr="00D717CF">
              <w:rPr>
                <w:rFonts w:ascii="Arial" w:eastAsia="Arial" w:hAnsi="Arial" w:cs="Arial"/>
                <w:color w:val="0070C0"/>
                <w:sz w:val="20"/>
                <w:szCs w:val="24"/>
              </w:rPr>
              <w:t xml:space="preserve">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F422F8" w:rsidP="00843A49">
            <w:pPr>
              <w:pStyle w:val="ListParagraph"/>
              <w:numPr>
                <w:ilvl w:val="0"/>
                <w:numId w:val="1"/>
              </w:numPr>
              <w:spacing w:after="0" w:line="240" w:lineRule="auto"/>
              <w:ind w:left="317"/>
              <w:jc w:val="both"/>
              <w:rPr>
                <w:rFonts w:ascii="Arial" w:eastAsia="Arial" w:hAnsi="Arial" w:cs="Arial"/>
                <w:color w:val="0070C0"/>
                <w:sz w:val="20"/>
                <w:szCs w:val="24"/>
              </w:rPr>
            </w:pPr>
            <w:r>
              <w:rPr>
                <w:rFonts w:ascii="Arial" w:eastAsia="Arial" w:hAnsi="Arial" w:cs="Arial"/>
                <w:color w:val="0070C0"/>
                <w:sz w:val="20"/>
                <w:szCs w:val="24"/>
              </w:rPr>
              <w:t xml:space="preserve">Quick Response Teams (QRT), Provincial Social Welfare and Development Teams (PSWADT), </w:t>
            </w:r>
            <w:r w:rsidR="00E16570" w:rsidRPr="00D717CF">
              <w:rPr>
                <w:rFonts w:ascii="Arial" w:eastAsia="Arial" w:hAnsi="Arial" w:cs="Arial"/>
                <w:color w:val="0070C0"/>
                <w:sz w:val="20"/>
                <w:szCs w:val="24"/>
              </w:rPr>
              <w:t>Municipal Action Teams</w:t>
            </w:r>
            <w:r>
              <w:rPr>
                <w:rFonts w:ascii="Arial" w:eastAsia="Arial" w:hAnsi="Arial" w:cs="Arial"/>
                <w:color w:val="0070C0"/>
                <w:sz w:val="20"/>
                <w:szCs w:val="24"/>
              </w:rPr>
              <w:t xml:space="preserve"> (MAT)</w:t>
            </w:r>
            <w:r w:rsidR="00E16570" w:rsidRPr="00D717CF">
              <w:rPr>
                <w:rFonts w:ascii="Arial" w:eastAsia="Arial" w:hAnsi="Arial" w:cs="Arial"/>
                <w:color w:val="0070C0"/>
                <w:sz w:val="20"/>
                <w:szCs w:val="24"/>
              </w:rPr>
              <w:t xml:space="preserve"> are on alert and on standby.</w:t>
            </w:r>
          </w:p>
          <w:p w:rsidR="00E16570" w:rsidRPr="00F422F8" w:rsidRDefault="00E16570"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Rapid Emergency </w:t>
            </w:r>
            <w:r w:rsidRPr="00F422F8">
              <w:rPr>
                <w:rFonts w:ascii="Arial" w:eastAsia="Arial" w:hAnsi="Arial" w:cs="Arial"/>
                <w:color w:val="0070C0"/>
                <w:sz w:val="20"/>
                <w:szCs w:val="24"/>
              </w:rPr>
              <w:t xml:space="preserve">Telecommunications Team (RETT) including the </w:t>
            </w:r>
            <w:r w:rsidR="00551824" w:rsidRPr="00F422F8">
              <w:rPr>
                <w:rFonts w:ascii="Arial" w:eastAsia="Arial" w:hAnsi="Arial" w:cs="Arial"/>
                <w:color w:val="0070C0"/>
                <w:sz w:val="20"/>
                <w:szCs w:val="24"/>
              </w:rPr>
              <w:t>INMARSAT</w:t>
            </w:r>
            <w:r w:rsidRPr="00F422F8">
              <w:rPr>
                <w:rFonts w:ascii="Arial" w:eastAsia="Arial" w:hAnsi="Arial" w:cs="Arial"/>
                <w:color w:val="0070C0"/>
                <w:sz w:val="20"/>
                <w:szCs w:val="24"/>
              </w:rPr>
              <w:t xml:space="preserve"> equipment are on standby.</w:t>
            </w:r>
          </w:p>
          <w:p w:rsidR="00A33279" w:rsidRDefault="00E16570" w:rsidP="00A33279">
            <w:pPr>
              <w:pStyle w:val="ListParagraph"/>
              <w:numPr>
                <w:ilvl w:val="0"/>
                <w:numId w:val="1"/>
              </w:numPr>
              <w:spacing w:after="0" w:line="240" w:lineRule="auto"/>
              <w:ind w:left="317"/>
              <w:jc w:val="both"/>
              <w:rPr>
                <w:rFonts w:ascii="Arial" w:eastAsia="Arial" w:hAnsi="Arial" w:cs="Arial"/>
                <w:color w:val="0070C0"/>
                <w:sz w:val="20"/>
                <w:szCs w:val="24"/>
              </w:rPr>
            </w:pPr>
            <w:r w:rsidRPr="00F422F8">
              <w:rPr>
                <w:rFonts w:ascii="Arial" w:eastAsia="Arial" w:hAnsi="Arial" w:cs="Arial"/>
                <w:color w:val="0070C0"/>
                <w:sz w:val="20"/>
                <w:szCs w:val="24"/>
              </w:rPr>
              <w:t xml:space="preserve">The Operations Center is on </w:t>
            </w:r>
            <w:r w:rsidR="00F422F8" w:rsidRPr="00F422F8">
              <w:rPr>
                <w:rFonts w:ascii="Arial" w:eastAsia="Arial" w:hAnsi="Arial" w:cs="Arial"/>
                <w:b/>
                <w:color w:val="0070C0"/>
                <w:sz w:val="20"/>
                <w:szCs w:val="24"/>
              </w:rPr>
              <w:t>BLUE</w:t>
            </w:r>
            <w:r w:rsidRPr="00F422F8">
              <w:rPr>
                <w:rFonts w:ascii="Arial" w:eastAsia="Arial" w:hAnsi="Arial" w:cs="Arial"/>
                <w:color w:val="0070C0"/>
                <w:sz w:val="20"/>
                <w:szCs w:val="24"/>
              </w:rPr>
              <w:t xml:space="preserve"> </w:t>
            </w:r>
            <w:r w:rsidRPr="00D717CF">
              <w:rPr>
                <w:rFonts w:ascii="Arial" w:eastAsia="Arial" w:hAnsi="Arial" w:cs="Arial"/>
                <w:color w:val="0070C0"/>
                <w:sz w:val="20"/>
                <w:szCs w:val="24"/>
              </w:rPr>
              <w:t>alert in accordance to the alert level status of Cordillera Regional Disaster Risk Reduction and Management Council (CRDRRMC).</w:t>
            </w:r>
          </w:p>
          <w:p w:rsidR="00A33279" w:rsidRDefault="00A33279" w:rsidP="00A33279">
            <w:pPr>
              <w:pStyle w:val="ListParagraph"/>
              <w:numPr>
                <w:ilvl w:val="0"/>
                <w:numId w:val="1"/>
              </w:numPr>
              <w:spacing w:after="0" w:line="240" w:lineRule="auto"/>
              <w:ind w:left="317"/>
              <w:jc w:val="both"/>
              <w:rPr>
                <w:rFonts w:ascii="Arial" w:eastAsia="Arial" w:hAnsi="Arial" w:cs="Arial"/>
                <w:color w:val="0070C0"/>
                <w:sz w:val="20"/>
                <w:szCs w:val="24"/>
              </w:rPr>
            </w:pPr>
            <w:r>
              <w:rPr>
                <w:rFonts w:ascii="Arial" w:eastAsia="Arial" w:hAnsi="Arial" w:cs="Arial"/>
                <w:color w:val="0070C0"/>
                <w:sz w:val="20"/>
                <w:szCs w:val="24"/>
              </w:rPr>
              <w:t>DSWD-FO CAR c</w:t>
            </w:r>
            <w:r w:rsidRPr="00A33279">
              <w:rPr>
                <w:rFonts w:ascii="Arial" w:eastAsia="Arial" w:hAnsi="Arial" w:cs="Arial"/>
                <w:color w:val="0070C0"/>
                <w:sz w:val="20"/>
                <w:szCs w:val="24"/>
              </w:rPr>
              <w:t>oordinated with the OCD re list of barangays with High and Moderate</w:t>
            </w:r>
            <w:r w:rsidRPr="00A33279">
              <w:rPr>
                <w:rFonts w:ascii="Arial" w:eastAsia="Arial" w:hAnsi="Arial" w:cs="Arial"/>
                <w:color w:val="0070C0"/>
                <w:sz w:val="20"/>
                <w:szCs w:val="24"/>
              </w:rPr>
              <w:t xml:space="preserve"> </w:t>
            </w:r>
            <w:r w:rsidRPr="00A33279">
              <w:rPr>
                <w:rFonts w:ascii="Arial" w:eastAsia="Arial" w:hAnsi="Arial" w:cs="Arial"/>
                <w:color w:val="0070C0"/>
                <w:sz w:val="20"/>
                <w:szCs w:val="24"/>
              </w:rPr>
              <w:t>Landslide Susceptibility and barangays with Very High, High and</w:t>
            </w:r>
            <w:r w:rsidRPr="00A33279">
              <w:rPr>
                <w:rFonts w:ascii="Arial" w:eastAsia="Arial" w:hAnsi="Arial" w:cs="Arial"/>
                <w:color w:val="0070C0"/>
                <w:sz w:val="20"/>
                <w:szCs w:val="24"/>
              </w:rPr>
              <w:t xml:space="preserve"> </w:t>
            </w:r>
            <w:r w:rsidRPr="00A33279">
              <w:rPr>
                <w:rFonts w:ascii="Arial" w:eastAsia="Arial" w:hAnsi="Arial" w:cs="Arial"/>
                <w:color w:val="0070C0"/>
                <w:sz w:val="20"/>
                <w:szCs w:val="24"/>
              </w:rPr>
              <w:t>Moderate Flood Susceptibility.</w:t>
            </w:r>
          </w:p>
          <w:p w:rsidR="00A33279" w:rsidRPr="00A33279" w:rsidRDefault="00A33279" w:rsidP="00A33279">
            <w:pPr>
              <w:pStyle w:val="ListParagraph"/>
              <w:numPr>
                <w:ilvl w:val="0"/>
                <w:numId w:val="1"/>
              </w:numPr>
              <w:spacing w:after="0" w:line="240" w:lineRule="auto"/>
              <w:ind w:left="317"/>
              <w:jc w:val="both"/>
              <w:rPr>
                <w:rFonts w:ascii="Arial" w:eastAsia="Arial" w:hAnsi="Arial" w:cs="Arial"/>
                <w:color w:val="0070C0"/>
                <w:sz w:val="20"/>
                <w:szCs w:val="24"/>
              </w:rPr>
            </w:pPr>
            <w:r w:rsidRPr="00A33279">
              <w:rPr>
                <w:rFonts w:ascii="Arial" w:eastAsia="Arial" w:hAnsi="Arial" w:cs="Arial"/>
                <w:color w:val="0070C0"/>
                <w:sz w:val="20"/>
                <w:szCs w:val="24"/>
              </w:rPr>
              <w:t>DSWD-FO CAR</w:t>
            </w:r>
            <w:r w:rsidRPr="00A33279">
              <w:rPr>
                <w:rFonts w:ascii="Arial" w:eastAsia="Arial" w:hAnsi="Arial" w:cs="Arial"/>
                <w:color w:val="0070C0"/>
                <w:sz w:val="20"/>
                <w:szCs w:val="24"/>
              </w:rPr>
              <w:t xml:space="preserve"> </w:t>
            </w:r>
            <w:r w:rsidRPr="00A33279">
              <w:rPr>
                <w:rFonts w:ascii="Arial" w:eastAsia="Arial" w:hAnsi="Arial" w:cs="Arial"/>
                <w:color w:val="0070C0"/>
                <w:sz w:val="20"/>
                <w:szCs w:val="24"/>
              </w:rPr>
              <w:t>Mapped the Landslide Susceptibility listed barangays from MGB</w:t>
            </w:r>
            <w:r>
              <w:rPr>
                <w:rFonts w:ascii="Arial" w:eastAsia="Arial" w:hAnsi="Arial" w:cs="Arial"/>
                <w:color w:val="0070C0"/>
                <w:sz w:val="20"/>
                <w:szCs w:val="24"/>
              </w:rPr>
              <w:t xml:space="preserve"> </w:t>
            </w:r>
            <w:r w:rsidRPr="00A33279">
              <w:rPr>
                <w:rFonts w:ascii="Arial" w:eastAsia="Arial" w:hAnsi="Arial" w:cs="Arial"/>
                <w:color w:val="0070C0"/>
                <w:sz w:val="20"/>
                <w:szCs w:val="24"/>
              </w:rPr>
              <w:t>through the OCD CAR.</w:t>
            </w:r>
          </w:p>
        </w:tc>
      </w:tr>
    </w:tbl>
    <w:p w:rsidR="00EE13AD" w:rsidRDefault="00EE13AD" w:rsidP="00843A49">
      <w:pPr>
        <w:spacing w:after="0" w:line="240" w:lineRule="auto"/>
        <w:contextualSpacing/>
        <w:rPr>
          <w:rFonts w:ascii="Arial" w:eastAsia="Arial" w:hAnsi="Arial" w:cs="Arial"/>
          <w:b/>
          <w:sz w:val="24"/>
          <w:szCs w:val="24"/>
        </w:rPr>
      </w:pPr>
    </w:p>
    <w:p w:rsidR="00411916" w:rsidRPr="00411916" w:rsidRDefault="00411916" w:rsidP="00843A49">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E16570">
        <w:rPr>
          <w:rFonts w:ascii="Arial" w:eastAsia="Arial" w:hAnsi="Arial" w:cs="Arial"/>
          <w:i/>
          <w:sz w:val="20"/>
          <w:szCs w:val="20"/>
        </w:rPr>
        <w:t>S</w:t>
      </w:r>
      <w:r w:rsidR="002D0802">
        <w:rPr>
          <w:rFonts w:ascii="Arial" w:eastAsia="Arial" w:hAnsi="Arial" w:cs="Arial"/>
          <w:i/>
          <w:sz w:val="20"/>
          <w:szCs w:val="20"/>
        </w:rPr>
        <w:t xml:space="preserve"> </w:t>
      </w:r>
      <w:r w:rsidR="00BC38FC">
        <w:rPr>
          <w:rFonts w:ascii="Arial" w:eastAsia="Arial" w:hAnsi="Arial" w:cs="Arial"/>
          <w:i/>
          <w:sz w:val="20"/>
          <w:szCs w:val="20"/>
        </w:rPr>
        <w:t>Sarah</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p>
    <w:p w:rsidR="004B7668" w:rsidRPr="004B7668" w:rsidRDefault="004B7668" w:rsidP="00843A49">
      <w:pPr>
        <w:spacing w:after="0" w:line="240" w:lineRule="auto"/>
        <w:contextualSpacing/>
        <w:rPr>
          <w:rFonts w:ascii="Arial" w:eastAsia="Arial" w:hAnsi="Arial" w:cs="Arial"/>
          <w:sz w:val="24"/>
          <w:szCs w:val="24"/>
        </w:rPr>
      </w:pPr>
    </w:p>
    <w:p w:rsidR="001671D2" w:rsidRDefault="001671D2" w:rsidP="00843A49">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rsidR="004B7668" w:rsidRDefault="00212BF2"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1E7A8D" w:rsidRDefault="001E7A8D" w:rsidP="00843A49">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rsidR="004B7668" w:rsidRDefault="004B7668" w:rsidP="00843A49">
      <w:pPr>
        <w:spacing w:after="0" w:line="240" w:lineRule="auto"/>
        <w:contextualSpacing/>
        <w:rPr>
          <w:rFonts w:ascii="Arial" w:eastAsia="Arial" w:hAnsi="Arial" w:cs="Arial"/>
          <w:b/>
          <w:sz w:val="24"/>
          <w:szCs w:val="24"/>
        </w:rPr>
      </w:pPr>
    </w:p>
    <w:p w:rsidR="000F1F6C" w:rsidRPr="00BE43F9" w:rsidRDefault="001E7A8D" w:rsidP="00843A49">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843A49">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D6" w:rsidRDefault="000D1FD6">
      <w:pPr>
        <w:spacing w:after="0" w:line="240" w:lineRule="auto"/>
      </w:pPr>
      <w:r>
        <w:separator/>
      </w:r>
    </w:p>
  </w:endnote>
  <w:endnote w:type="continuationSeparator" w:id="0">
    <w:p w:rsidR="000D1FD6" w:rsidRDefault="000D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87325">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87325">
      <w:rPr>
        <w:b/>
        <w:noProof/>
        <w:sz w:val="16"/>
        <w:szCs w:val="16"/>
      </w:rPr>
      <w:t>6</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reparedness for Response Report #</w:t>
    </w:r>
    <w:r w:rsidR="003C60ED">
      <w:rPr>
        <w:rFonts w:ascii="Arial" w:eastAsia="Arial" w:hAnsi="Arial" w:cs="Arial"/>
        <w:sz w:val="16"/>
        <w:szCs w:val="16"/>
      </w:rPr>
      <w:t>2</w:t>
    </w:r>
    <w:r w:rsidR="00B10D40">
      <w:rPr>
        <w:rFonts w:ascii="Arial" w:eastAsia="Arial" w:hAnsi="Arial" w:cs="Arial"/>
        <w:sz w:val="16"/>
        <w:szCs w:val="16"/>
      </w:rPr>
      <w:t xml:space="preserve"> on </w:t>
    </w:r>
    <w:r w:rsidR="00617DB8">
      <w:rPr>
        <w:rFonts w:ascii="Arial" w:eastAsia="Arial" w:hAnsi="Arial" w:cs="Arial"/>
        <w:sz w:val="16"/>
        <w:szCs w:val="16"/>
      </w:rPr>
      <w:t>Typhoon</w:t>
    </w:r>
    <w:r w:rsidR="00B10D40">
      <w:rPr>
        <w:rFonts w:ascii="Arial" w:eastAsia="Arial" w:hAnsi="Arial" w:cs="Arial"/>
        <w:sz w:val="16"/>
        <w:szCs w:val="16"/>
      </w:rPr>
      <w:t xml:space="preserve"> "</w:t>
    </w:r>
    <w:proofErr w:type="spellStart"/>
    <w:r w:rsidR="00617DB8">
      <w:rPr>
        <w:rFonts w:ascii="Arial" w:eastAsia="Arial" w:hAnsi="Arial" w:cs="Arial"/>
        <w:sz w:val="16"/>
        <w:szCs w:val="16"/>
      </w:rPr>
      <w:t>Tisoy</w:t>
    </w:r>
    <w:proofErr w:type="spellEnd"/>
    <w:r w:rsidR="00B10D40">
      <w:rPr>
        <w:rFonts w:ascii="Arial" w:eastAsia="Arial" w:hAnsi="Arial" w:cs="Arial"/>
        <w:sz w:val="16"/>
        <w:szCs w:val="16"/>
      </w:rPr>
      <w:t xml:space="preserve">" </w:t>
    </w:r>
    <w:r w:rsidR="00BC38FC">
      <w:rPr>
        <w:rFonts w:ascii="Arial" w:eastAsia="Arial" w:hAnsi="Arial" w:cs="Arial"/>
        <w:sz w:val="16"/>
        <w:szCs w:val="16"/>
      </w:rPr>
      <w:t>as of 2</w:t>
    </w:r>
    <w:r w:rsidR="003C60ED">
      <w:rPr>
        <w:rFonts w:ascii="Arial" w:eastAsia="Arial" w:hAnsi="Arial" w:cs="Arial"/>
        <w:sz w:val="16"/>
        <w:szCs w:val="16"/>
      </w:rPr>
      <w:t>9</w:t>
    </w:r>
    <w:r w:rsidR="00B10D40" w:rsidRPr="00B10D40">
      <w:rPr>
        <w:rFonts w:ascii="Arial" w:eastAsia="Arial" w:hAnsi="Arial" w:cs="Arial"/>
        <w:sz w:val="16"/>
        <w:szCs w:val="16"/>
      </w:rPr>
      <w:t xml:space="preserve"> November 2019, </w:t>
    </w:r>
    <w:r w:rsidR="003C60ED">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D6" w:rsidRDefault="000D1FD6">
      <w:pPr>
        <w:spacing w:after="0" w:line="240" w:lineRule="auto"/>
      </w:pPr>
      <w:r>
        <w:separator/>
      </w:r>
    </w:p>
  </w:footnote>
  <w:footnote w:type="continuationSeparator" w:id="0">
    <w:p w:rsidR="000D1FD6" w:rsidRDefault="000D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73011"/>
    <w:multiLevelType w:val="hybridMultilevel"/>
    <w:tmpl w:val="2B024CAA"/>
    <w:lvl w:ilvl="0" w:tplc="15326A2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BC2EA1"/>
    <w:multiLevelType w:val="hybridMultilevel"/>
    <w:tmpl w:val="BEAA16F4"/>
    <w:lvl w:ilvl="0" w:tplc="A37C34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5E5E69"/>
    <w:multiLevelType w:val="hybridMultilevel"/>
    <w:tmpl w:val="5854F762"/>
    <w:lvl w:ilvl="0" w:tplc="3E246F74">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903EB1"/>
    <w:multiLevelType w:val="hybridMultilevel"/>
    <w:tmpl w:val="AB848FEE"/>
    <w:lvl w:ilvl="0" w:tplc="6F6AA6C6">
      <w:start w:val="1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1" w15:restartNumberingAfterBreak="0">
    <w:nsid w:val="1FF94EBA"/>
    <w:multiLevelType w:val="hybridMultilevel"/>
    <w:tmpl w:val="472E3E6C"/>
    <w:lvl w:ilvl="0" w:tplc="FB86F478">
      <w:start w:val="29"/>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45913FB"/>
    <w:multiLevelType w:val="hybridMultilevel"/>
    <w:tmpl w:val="E0AE1F6A"/>
    <w:lvl w:ilvl="0" w:tplc="185014B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2766E1"/>
    <w:multiLevelType w:val="hybridMultilevel"/>
    <w:tmpl w:val="2DF44200"/>
    <w:lvl w:ilvl="0" w:tplc="82FC8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9"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4536BFF"/>
    <w:multiLevelType w:val="multilevel"/>
    <w:tmpl w:val="D09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28"/>
  </w:num>
  <w:num w:numId="3">
    <w:abstractNumId w:val="27"/>
  </w:num>
  <w:num w:numId="4">
    <w:abstractNumId w:val="2"/>
  </w:num>
  <w:num w:numId="5">
    <w:abstractNumId w:val="35"/>
  </w:num>
  <w:num w:numId="6">
    <w:abstractNumId w:val="5"/>
  </w:num>
  <w:num w:numId="7">
    <w:abstractNumId w:val="20"/>
  </w:num>
  <w:num w:numId="8">
    <w:abstractNumId w:val="26"/>
  </w:num>
  <w:num w:numId="9">
    <w:abstractNumId w:val="6"/>
  </w:num>
  <w:num w:numId="10">
    <w:abstractNumId w:val="37"/>
  </w:num>
  <w:num w:numId="11">
    <w:abstractNumId w:val="22"/>
  </w:num>
  <w:num w:numId="12">
    <w:abstractNumId w:val="29"/>
  </w:num>
  <w:num w:numId="13">
    <w:abstractNumId w:val="21"/>
  </w:num>
  <w:num w:numId="14">
    <w:abstractNumId w:val="31"/>
  </w:num>
  <w:num w:numId="15">
    <w:abstractNumId w:val="13"/>
  </w:num>
  <w:num w:numId="16">
    <w:abstractNumId w:val="24"/>
  </w:num>
  <w:num w:numId="17">
    <w:abstractNumId w:val="33"/>
  </w:num>
  <w:num w:numId="18">
    <w:abstractNumId w:val="9"/>
  </w:num>
  <w:num w:numId="19">
    <w:abstractNumId w:val="14"/>
  </w:num>
  <w:num w:numId="20">
    <w:abstractNumId w:val="19"/>
  </w:num>
  <w:num w:numId="21">
    <w:abstractNumId w:val="1"/>
  </w:num>
  <w:num w:numId="22">
    <w:abstractNumId w:val="32"/>
  </w:num>
  <w:num w:numId="23">
    <w:abstractNumId w:val="30"/>
  </w:num>
  <w:num w:numId="24">
    <w:abstractNumId w:val="25"/>
  </w:num>
  <w:num w:numId="25">
    <w:abstractNumId w:val="0"/>
  </w:num>
  <w:num w:numId="26">
    <w:abstractNumId w:val="7"/>
  </w:num>
  <w:num w:numId="27">
    <w:abstractNumId w:val="15"/>
  </w:num>
  <w:num w:numId="28">
    <w:abstractNumId w:val="17"/>
  </w:num>
  <w:num w:numId="29">
    <w:abstractNumId w:val="23"/>
  </w:num>
  <w:num w:numId="30">
    <w:abstractNumId w:val="3"/>
  </w:num>
  <w:num w:numId="31">
    <w:abstractNumId w:val="34"/>
  </w:num>
  <w:num w:numId="32">
    <w:abstractNumId w:val="10"/>
  </w:num>
  <w:num w:numId="33">
    <w:abstractNumId w:val="36"/>
  </w:num>
  <w:num w:numId="34">
    <w:abstractNumId w:val="16"/>
  </w:num>
  <w:num w:numId="35">
    <w:abstractNumId w:val="12"/>
  </w:num>
  <w:num w:numId="36">
    <w:abstractNumId w:val="4"/>
  </w:num>
  <w:num w:numId="37">
    <w:abstractNumId w:val="11"/>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713"/>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CF5"/>
    <w:rsid w:val="000A1FE9"/>
    <w:rsid w:val="000B5875"/>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7E58"/>
    <w:rsid w:val="001227AA"/>
    <w:rsid w:val="00122989"/>
    <w:rsid w:val="00125678"/>
    <w:rsid w:val="0013566A"/>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325"/>
    <w:rsid w:val="00187CD6"/>
    <w:rsid w:val="001911FC"/>
    <w:rsid w:val="00192CDE"/>
    <w:rsid w:val="00194BAC"/>
    <w:rsid w:val="00196063"/>
    <w:rsid w:val="00197C40"/>
    <w:rsid w:val="001A24E5"/>
    <w:rsid w:val="001A5783"/>
    <w:rsid w:val="001B707B"/>
    <w:rsid w:val="001B7C20"/>
    <w:rsid w:val="001C1FD4"/>
    <w:rsid w:val="001D01A8"/>
    <w:rsid w:val="001E08FA"/>
    <w:rsid w:val="001E09E8"/>
    <w:rsid w:val="001E1043"/>
    <w:rsid w:val="001E26B4"/>
    <w:rsid w:val="001E7A8D"/>
    <w:rsid w:val="001F0789"/>
    <w:rsid w:val="001F7850"/>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2F9E"/>
    <w:rsid w:val="00265D5C"/>
    <w:rsid w:val="00265DF5"/>
    <w:rsid w:val="00266F30"/>
    <w:rsid w:val="00270BD6"/>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60ED"/>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6C0D"/>
    <w:rsid w:val="00474FE2"/>
    <w:rsid w:val="004801A8"/>
    <w:rsid w:val="004808D9"/>
    <w:rsid w:val="00485FAA"/>
    <w:rsid w:val="004867BA"/>
    <w:rsid w:val="00490703"/>
    <w:rsid w:val="00495369"/>
    <w:rsid w:val="004A080D"/>
    <w:rsid w:val="004A195C"/>
    <w:rsid w:val="004A6648"/>
    <w:rsid w:val="004B0036"/>
    <w:rsid w:val="004B6089"/>
    <w:rsid w:val="004B6A6E"/>
    <w:rsid w:val="004B6B6D"/>
    <w:rsid w:val="004B7668"/>
    <w:rsid w:val="004B7D82"/>
    <w:rsid w:val="004C3182"/>
    <w:rsid w:val="004C5385"/>
    <w:rsid w:val="004C55DA"/>
    <w:rsid w:val="004D1392"/>
    <w:rsid w:val="004E19B2"/>
    <w:rsid w:val="004E2DCF"/>
    <w:rsid w:val="004E3A14"/>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9459E"/>
    <w:rsid w:val="00594DB7"/>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11D34"/>
    <w:rsid w:val="00617DB8"/>
    <w:rsid w:val="00632650"/>
    <w:rsid w:val="006348B0"/>
    <w:rsid w:val="00636A32"/>
    <w:rsid w:val="00637CFE"/>
    <w:rsid w:val="00637F5C"/>
    <w:rsid w:val="00646FEA"/>
    <w:rsid w:val="006513DA"/>
    <w:rsid w:val="006552C0"/>
    <w:rsid w:val="00660954"/>
    <w:rsid w:val="00660E16"/>
    <w:rsid w:val="00661764"/>
    <w:rsid w:val="00665A10"/>
    <w:rsid w:val="00667EC5"/>
    <w:rsid w:val="00672031"/>
    <w:rsid w:val="00676AC7"/>
    <w:rsid w:val="0067706B"/>
    <w:rsid w:val="006808AA"/>
    <w:rsid w:val="00682EB7"/>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F2FAD"/>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B7B55"/>
    <w:rsid w:val="008C4874"/>
    <w:rsid w:val="008C5231"/>
    <w:rsid w:val="008C5268"/>
    <w:rsid w:val="008C5C42"/>
    <w:rsid w:val="008D1F90"/>
    <w:rsid w:val="008D37AB"/>
    <w:rsid w:val="008D6880"/>
    <w:rsid w:val="008E4DF8"/>
    <w:rsid w:val="008F379C"/>
    <w:rsid w:val="008F5202"/>
    <w:rsid w:val="008F5738"/>
    <w:rsid w:val="008F5D6F"/>
    <w:rsid w:val="008F63A8"/>
    <w:rsid w:val="0090173D"/>
    <w:rsid w:val="00903158"/>
    <w:rsid w:val="00904E27"/>
    <w:rsid w:val="009063A0"/>
    <w:rsid w:val="0090729C"/>
    <w:rsid w:val="00911CB3"/>
    <w:rsid w:val="0092250B"/>
    <w:rsid w:val="009244C0"/>
    <w:rsid w:val="0093050B"/>
    <w:rsid w:val="00931CF2"/>
    <w:rsid w:val="00932578"/>
    <w:rsid w:val="009326C3"/>
    <w:rsid w:val="00941CF5"/>
    <w:rsid w:val="00945FC4"/>
    <w:rsid w:val="00946CB9"/>
    <w:rsid w:val="00954D0D"/>
    <w:rsid w:val="009609FE"/>
    <w:rsid w:val="009650DC"/>
    <w:rsid w:val="00971537"/>
    <w:rsid w:val="009808F1"/>
    <w:rsid w:val="00984253"/>
    <w:rsid w:val="00986677"/>
    <w:rsid w:val="00990989"/>
    <w:rsid w:val="009940A7"/>
    <w:rsid w:val="009A1E3B"/>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3279"/>
    <w:rsid w:val="00A35FC5"/>
    <w:rsid w:val="00A360D4"/>
    <w:rsid w:val="00A3643A"/>
    <w:rsid w:val="00A37159"/>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505E4"/>
    <w:rsid w:val="00B571E4"/>
    <w:rsid w:val="00B57FB1"/>
    <w:rsid w:val="00B62780"/>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5C3A"/>
    <w:rsid w:val="00BF2BA8"/>
    <w:rsid w:val="00BF3057"/>
    <w:rsid w:val="00BF6524"/>
    <w:rsid w:val="00BF69FA"/>
    <w:rsid w:val="00C0011C"/>
    <w:rsid w:val="00C00C48"/>
    <w:rsid w:val="00C050DB"/>
    <w:rsid w:val="00C14C68"/>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933CD"/>
    <w:rsid w:val="00C939CC"/>
    <w:rsid w:val="00C97ED3"/>
    <w:rsid w:val="00CA0BE7"/>
    <w:rsid w:val="00CA2D0F"/>
    <w:rsid w:val="00CA364D"/>
    <w:rsid w:val="00CA4BCD"/>
    <w:rsid w:val="00CA4E4D"/>
    <w:rsid w:val="00CA5761"/>
    <w:rsid w:val="00CB0BED"/>
    <w:rsid w:val="00CB1BC9"/>
    <w:rsid w:val="00CB22FC"/>
    <w:rsid w:val="00CB2B66"/>
    <w:rsid w:val="00CB3DEE"/>
    <w:rsid w:val="00CB50C0"/>
    <w:rsid w:val="00CB6413"/>
    <w:rsid w:val="00CC1693"/>
    <w:rsid w:val="00CC4DBB"/>
    <w:rsid w:val="00CD2EC0"/>
    <w:rsid w:val="00CD57FF"/>
    <w:rsid w:val="00CE6345"/>
    <w:rsid w:val="00CE7C6C"/>
    <w:rsid w:val="00CF30C3"/>
    <w:rsid w:val="00CF3767"/>
    <w:rsid w:val="00CF6CA2"/>
    <w:rsid w:val="00CF786F"/>
    <w:rsid w:val="00D018CB"/>
    <w:rsid w:val="00D01F5A"/>
    <w:rsid w:val="00D1364E"/>
    <w:rsid w:val="00D164A6"/>
    <w:rsid w:val="00D172A7"/>
    <w:rsid w:val="00D21849"/>
    <w:rsid w:val="00D22211"/>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44A97"/>
    <w:rsid w:val="00E477DA"/>
    <w:rsid w:val="00E47B18"/>
    <w:rsid w:val="00E50999"/>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1B3D"/>
    <w:rsid w:val="00F92BB4"/>
    <w:rsid w:val="00F92EC3"/>
    <w:rsid w:val="00F9755C"/>
    <w:rsid w:val="00FA5F29"/>
    <w:rsid w:val="00FA7174"/>
    <w:rsid w:val="00FA71E5"/>
    <w:rsid w:val="00FB2691"/>
    <w:rsid w:val="00FB6498"/>
    <w:rsid w:val="00FC189D"/>
    <w:rsid w:val="00FC192D"/>
    <w:rsid w:val="00FC633C"/>
    <w:rsid w:val="00FD0D6D"/>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9662B"/>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95D7-C341-4FED-BC2F-85C91808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16</cp:revision>
  <dcterms:created xsi:type="dcterms:W3CDTF">2019-11-29T08:05:00Z</dcterms:created>
  <dcterms:modified xsi:type="dcterms:W3CDTF">2019-11-29T09:01:00Z</dcterms:modified>
</cp:coreProperties>
</file>