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9E7AC6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A67EC8">
        <w:rPr>
          <w:rFonts w:ascii="Arial" w:eastAsia="Arial" w:hAnsi="Arial" w:cs="Arial"/>
          <w:b/>
          <w:sz w:val="32"/>
          <w:szCs w:val="32"/>
        </w:rPr>
        <w:t>Inayawan</w:t>
      </w:r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, </w:t>
      </w:r>
      <w:r w:rsidR="00A67EC8">
        <w:rPr>
          <w:rFonts w:ascii="Arial" w:eastAsia="Arial" w:hAnsi="Arial" w:cs="Arial"/>
          <w:b/>
          <w:sz w:val="32"/>
          <w:szCs w:val="32"/>
        </w:rPr>
        <w:t>Cebu</w:t>
      </w:r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AE7146" w:rsidRDefault="009E7AC6" w:rsidP="00113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27</w:t>
      </w:r>
      <w:r w:rsidR="00A67EC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2020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4579A2">
        <w:rPr>
          <w:rFonts w:ascii="Arial" w:eastAsia="Arial" w:hAnsi="Arial" w:cs="Arial"/>
          <w:sz w:val="24"/>
          <w:szCs w:val="24"/>
        </w:rPr>
        <w:t>6PM</w:t>
      </w:r>
    </w:p>
    <w:p w:rsidR="00113B33" w:rsidRPr="00AE7146" w:rsidRDefault="00113B33" w:rsidP="00113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6C715C" w:rsidRDefault="006C715C" w:rsidP="00CE3616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C715C">
        <w:rPr>
          <w:rFonts w:ascii="Arial" w:hAnsi="Arial" w:cs="Arial"/>
          <w:i/>
          <w:sz w:val="24"/>
          <w:szCs w:val="24"/>
        </w:rPr>
        <w:t xml:space="preserve">This is the final report on the fire incident that occurred in Sitio Lourdes, Brgy. Inayawan, Cebu City on 20 December 2019 at around 4:37 PM. </w:t>
      </w:r>
      <w:r w:rsidR="006E10CA" w:rsidRPr="006C715C">
        <w:rPr>
          <w:rFonts w:ascii="Arial" w:hAnsi="Arial" w:cs="Arial"/>
          <w:i/>
          <w:sz w:val="24"/>
          <w:szCs w:val="24"/>
        </w:rPr>
        <w:t xml:space="preserve">The fire </w:t>
      </w:r>
      <w:r w:rsidR="00AE7146" w:rsidRPr="006C715C">
        <w:rPr>
          <w:rFonts w:ascii="Arial" w:hAnsi="Arial" w:cs="Arial"/>
          <w:i/>
          <w:sz w:val="24"/>
          <w:szCs w:val="24"/>
        </w:rPr>
        <w:t xml:space="preserve">was </w:t>
      </w:r>
      <w:r w:rsidR="00113B33" w:rsidRPr="006C715C">
        <w:rPr>
          <w:rFonts w:ascii="Arial" w:hAnsi="Arial" w:cs="Arial"/>
          <w:i/>
          <w:sz w:val="24"/>
          <w:szCs w:val="24"/>
        </w:rPr>
        <w:t xml:space="preserve">put under control at 5:20 PM and was </w:t>
      </w:r>
      <w:r w:rsidR="006E10CA" w:rsidRPr="006C715C">
        <w:rPr>
          <w:rFonts w:ascii="Arial" w:hAnsi="Arial" w:cs="Arial"/>
          <w:i/>
          <w:sz w:val="24"/>
          <w:szCs w:val="24"/>
        </w:rPr>
        <w:t xml:space="preserve">declared fire out at </w:t>
      </w:r>
      <w:r w:rsidR="00113B33" w:rsidRPr="006C715C">
        <w:rPr>
          <w:rFonts w:ascii="Arial" w:hAnsi="Arial" w:cs="Arial"/>
          <w:i/>
          <w:sz w:val="24"/>
          <w:szCs w:val="24"/>
        </w:rPr>
        <w:t>8</w:t>
      </w:r>
      <w:r w:rsidR="001208AB" w:rsidRPr="006C715C">
        <w:rPr>
          <w:rFonts w:ascii="Arial" w:hAnsi="Arial" w:cs="Arial"/>
          <w:i/>
          <w:sz w:val="24"/>
          <w:szCs w:val="24"/>
        </w:rPr>
        <w:t>:</w:t>
      </w:r>
      <w:r w:rsidR="00113B33" w:rsidRPr="006C715C">
        <w:rPr>
          <w:rFonts w:ascii="Arial" w:hAnsi="Arial" w:cs="Arial"/>
          <w:i/>
          <w:sz w:val="24"/>
          <w:szCs w:val="24"/>
        </w:rPr>
        <w:t>39</w:t>
      </w:r>
      <w:r w:rsidR="001208AB" w:rsidRPr="006C715C">
        <w:rPr>
          <w:rFonts w:ascii="Arial" w:hAnsi="Arial" w:cs="Arial"/>
          <w:i/>
          <w:sz w:val="24"/>
          <w:szCs w:val="24"/>
        </w:rPr>
        <w:t xml:space="preserve"> </w:t>
      </w:r>
      <w:r w:rsidR="00A0061A" w:rsidRPr="006C715C">
        <w:rPr>
          <w:rFonts w:ascii="Arial" w:hAnsi="Arial" w:cs="Arial"/>
          <w:i/>
          <w:sz w:val="24"/>
          <w:szCs w:val="24"/>
        </w:rPr>
        <w:t>P</w:t>
      </w:r>
      <w:r w:rsidR="006E10CA" w:rsidRPr="006C715C">
        <w:rPr>
          <w:rFonts w:ascii="Arial" w:hAnsi="Arial" w:cs="Arial"/>
          <w:i/>
          <w:sz w:val="24"/>
          <w:szCs w:val="24"/>
        </w:rPr>
        <w:t>M.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8872E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86485F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86485F">
        <w:rPr>
          <w:rFonts w:ascii="Arial" w:eastAsia="Arial" w:hAnsi="Arial" w:cs="Arial"/>
          <w:sz w:val="24"/>
          <w:szCs w:val="24"/>
        </w:rPr>
        <w:t xml:space="preserve">A total of </w:t>
      </w:r>
      <w:r w:rsidR="004D48BC">
        <w:rPr>
          <w:rFonts w:ascii="Arial" w:eastAsia="Arial" w:hAnsi="Arial" w:cs="Arial"/>
          <w:b/>
          <w:color w:val="0070C0"/>
          <w:sz w:val="24"/>
          <w:szCs w:val="24"/>
        </w:rPr>
        <w:t>105</w:t>
      </w:r>
      <w:r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485F">
        <w:rPr>
          <w:rFonts w:ascii="Arial" w:eastAsia="Arial" w:hAnsi="Arial" w:cs="Arial"/>
          <w:sz w:val="24"/>
          <w:szCs w:val="24"/>
        </w:rPr>
        <w:t xml:space="preserve">or </w:t>
      </w:r>
      <w:r w:rsidR="000E1655">
        <w:rPr>
          <w:rFonts w:ascii="Arial" w:eastAsia="Arial" w:hAnsi="Arial" w:cs="Arial"/>
          <w:b/>
          <w:color w:val="0070C0"/>
          <w:sz w:val="24"/>
          <w:szCs w:val="24"/>
        </w:rPr>
        <w:t>374</w:t>
      </w:r>
      <w:r w:rsidR="00EC0BA6"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86485F">
        <w:rPr>
          <w:rFonts w:ascii="Arial" w:eastAsia="Arial" w:hAnsi="Arial" w:cs="Arial"/>
          <w:sz w:val="24"/>
          <w:szCs w:val="24"/>
        </w:rPr>
        <w:t>were affected in</w:t>
      </w:r>
      <w:r w:rsidR="009613B0" w:rsidRPr="0086485F">
        <w:rPr>
          <w:rFonts w:ascii="Arial" w:eastAsia="Arial" w:hAnsi="Arial" w:cs="Arial"/>
          <w:sz w:val="24"/>
          <w:szCs w:val="24"/>
        </w:rPr>
        <w:t xml:space="preserve"> </w:t>
      </w:r>
      <w:r w:rsidR="00AD0AB9"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113B33" w:rsidRPr="00113B33">
        <w:rPr>
          <w:rFonts w:ascii="Arial" w:eastAsia="Arial" w:hAnsi="Arial" w:cs="Arial"/>
          <w:b/>
          <w:color w:val="0070C0"/>
          <w:sz w:val="24"/>
          <w:szCs w:val="24"/>
        </w:rPr>
        <w:t>Inayawan</w:t>
      </w:r>
      <w:r w:rsidR="00AD0AB9"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113B33"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Cebu City </w:t>
      </w:r>
      <w:r w:rsidRPr="0086485F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245"/>
        <w:gridCol w:w="1759"/>
        <w:gridCol w:w="1622"/>
        <w:gridCol w:w="1622"/>
      </w:tblGrid>
      <w:tr w:rsidR="00113B33" w:rsidRPr="00113B33" w:rsidTr="00113B33">
        <w:trPr>
          <w:trHeight w:val="32"/>
        </w:trPr>
        <w:tc>
          <w:tcPr>
            <w:tcW w:w="23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13B33" w:rsidRPr="00113B33" w:rsidTr="00113B33">
        <w:trPr>
          <w:trHeight w:val="32"/>
        </w:trPr>
        <w:tc>
          <w:tcPr>
            <w:tcW w:w="23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13B33" w:rsidRPr="00113B33" w:rsidTr="00113B33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C80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0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374 </w:t>
            </w:r>
          </w:p>
        </w:tc>
      </w:tr>
      <w:tr w:rsidR="00113B33" w:rsidRPr="00113B33" w:rsidTr="00113B33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C80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0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374 </w:t>
            </w:r>
          </w:p>
        </w:tc>
      </w:tr>
      <w:tr w:rsidR="00113B33" w:rsidRPr="00113B33" w:rsidTr="00113B33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C80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0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374 </w:t>
            </w:r>
          </w:p>
        </w:tc>
      </w:tr>
      <w:tr w:rsidR="00113B33" w:rsidRPr="00113B33" w:rsidTr="00113B3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C80AD6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</w:t>
            </w:r>
            <w:r w:rsidR="00113B33"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374 </w:t>
            </w:r>
          </w:p>
        </w:tc>
      </w:tr>
    </w:tbl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</w:t>
      </w:r>
      <w:r w:rsidR="008872E1">
        <w:rPr>
          <w:rFonts w:ascii="Arial" w:eastAsia="Times New Roman" w:hAnsi="Arial" w:cs="Arial"/>
          <w:b/>
          <w:bCs/>
          <w:color w:val="002060"/>
          <w:sz w:val="24"/>
          <w:szCs w:val="24"/>
        </w:rPr>
        <w:t>s</w:t>
      </w:r>
    </w:p>
    <w:p w:rsidR="007C7869" w:rsidRPr="004D48BC" w:rsidRDefault="00113B33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4D48BC">
        <w:rPr>
          <w:rFonts w:ascii="Arial" w:eastAsia="Times New Roman" w:hAnsi="Arial" w:cs="Arial"/>
          <w:b/>
          <w:bCs/>
          <w:iCs/>
          <w:sz w:val="24"/>
          <w:szCs w:val="24"/>
        </w:rPr>
        <w:t>40</w:t>
      </w:r>
      <w:r w:rsidR="006E1E4E" w:rsidRPr="004D48B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 </w:t>
      </w:r>
      <w:r w:rsidR="006E1E4E" w:rsidRPr="004D48BC">
        <w:rPr>
          <w:rFonts w:ascii="Arial" w:eastAsia="Times New Roman" w:hAnsi="Arial" w:cs="Arial"/>
          <w:bCs/>
          <w:iCs/>
          <w:sz w:val="24"/>
          <w:szCs w:val="24"/>
        </w:rPr>
        <w:t>were damaged</w:t>
      </w:r>
      <w:r w:rsidR="006E1E4E" w:rsidRPr="004D48B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4D48BC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AE7146" w:rsidRPr="004D48BC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4D48B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C7869" w:rsidRPr="004D48BC">
        <w:rPr>
          <w:rFonts w:ascii="Arial" w:eastAsia="Times New Roman" w:hAnsi="Arial" w:cs="Arial"/>
          <w:bCs/>
          <w:iCs/>
          <w:sz w:val="24"/>
          <w:szCs w:val="24"/>
        </w:rPr>
        <w:t>of which,</w:t>
      </w:r>
      <w:r w:rsidR="006E1E4E" w:rsidRPr="004D48BC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4D48BC">
        <w:rPr>
          <w:rFonts w:ascii="Arial" w:hAnsi="Arial" w:cs="Arial"/>
          <w:b/>
          <w:bCs/>
          <w:sz w:val="24"/>
          <w:shd w:val="clear" w:color="auto" w:fill="FFFFFF"/>
        </w:rPr>
        <w:t>36</w:t>
      </w:r>
      <w:r w:rsidR="006E1E4E" w:rsidRPr="004D48BC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6E1E4E" w:rsidRPr="004D48BC">
        <w:rPr>
          <w:rFonts w:ascii="Arial" w:hAnsi="Arial" w:cs="Arial"/>
          <w:bCs/>
          <w:sz w:val="24"/>
          <w:shd w:val="clear" w:color="auto" w:fill="FFFFFF"/>
        </w:rPr>
        <w:t>were</w:t>
      </w:r>
      <w:r w:rsidR="006E1E4E" w:rsidRPr="004D48BC">
        <w:rPr>
          <w:rFonts w:ascii="Arial" w:hAnsi="Arial" w:cs="Arial"/>
          <w:b/>
          <w:bCs/>
          <w:sz w:val="24"/>
          <w:shd w:val="clear" w:color="auto" w:fill="FFFFFF"/>
        </w:rPr>
        <w:t xml:space="preserve"> totally damaged </w:t>
      </w:r>
      <w:r w:rsidR="006E1E4E" w:rsidRPr="004D48BC">
        <w:rPr>
          <w:rFonts w:ascii="Arial" w:hAnsi="Arial" w:cs="Arial"/>
          <w:sz w:val="24"/>
          <w:shd w:val="clear" w:color="auto" w:fill="FFFFFF"/>
        </w:rPr>
        <w:t>and </w:t>
      </w:r>
      <w:r w:rsidRPr="004D48BC">
        <w:rPr>
          <w:rFonts w:ascii="Arial" w:hAnsi="Arial" w:cs="Arial"/>
          <w:b/>
          <w:bCs/>
          <w:sz w:val="24"/>
          <w:shd w:val="clear" w:color="auto" w:fill="FFFFFF"/>
        </w:rPr>
        <w:t>4</w:t>
      </w:r>
      <w:r w:rsidR="006E1E4E" w:rsidRPr="004D48BC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4D48BC">
        <w:rPr>
          <w:rFonts w:ascii="Arial" w:hAnsi="Arial" w:cs="Arial"/>
          <w:bCs/>
          <w:sz w:val="24"/>
          <w:shd w:val="clear" w:color="auto" w:fill="FFFFFF"/>
        </w:rPr>
        <w:t>were</w:t>
      </w:r>
      <w:r w:rsidR="00AE7146" w:rsidRPr="004D48BC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6E1E4E" w:rsidRPr="004D48BC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6E1E4E" w:rsidRPr="004D48BC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</w:t>
      </w:r>
      <w:r w:rsidR="006E1E4E" w:rsidRPr="004D48BC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 w:rsidRPr="004D48BC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4D48BC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81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5"/>
        <w:gridCol w:w="2090"/>
        <w:gridCol w:w="2090"/>
        <w:gridCol w:w="2092"/>
      </w:tblGrid>
      <w:tr w:rsidR="00113B33" w:rsidRPr="00113B33" w:rsidTr="00113B33">
        <w:trPr>
          <w:trHeight w:val="20"/>
        </w:trPr>
        <w:tc>
          <w:tcPr>
            <w:tcW w:w="1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13B33" w:rsidRPr="00113B33" w:rsidTr="00113B33">
        <w:trPr>
          <w:trHeight w:val="20"/>
        </w:trPr>
        <w:tc>
          <w:tcPr>
            <w:tcW w:w="1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13B33" w:rsidRPr="00113B33" w:rsidTr="00113B33">
        <w:trPr>
          <w:trHeight w:val="20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113B33" w:rsidRPr="00113B33" w:rsidTr="00113B33">
        <w:trPr>
          <w:trHeight w:val="20"/>
        </w:trPr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113B33" w:rsidRPr="00113B33" w:rsidTr="00113B33">
        <w:trPr>
          <w:trHeight w:val="20"/>
        </w:trPr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113B33" w:rsidRPr="00113B33" w:rsidTr="00113B3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:rsidR="004876E8" w:rsidRDefault="006E1E4E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  <w:r w:rsidR="009864E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23693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86485F" w:rsidRDefault="0086485F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6485F" w:rsidRPr="0023693F" w:rsidRDefault="0086485F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6485F" w:rsidRDefault="0086485F" w:rsidP="0086485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6485F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86485F" w:rsidRPr="0086485F" w:rsidRDefault="0086485F" w:rsidP="0086485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6485F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86485F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570BD">
        <w:rPr>
          <w:rFonts w:ascii="Arial" w:eastAsia="Times New Roman" w:hAnsi="Arial" w:cs="Arial"/>
          <w:b/>
          <w:bCs/>
          <w:color w:val="0070C0"/>
          <w:sz w:val="24"/>
          <w:szCs w:val="24"/>
        </w:rPr>
        <w:t>246,503.25</w:t>
      </w:r>
      <w:r w:rsidR="00113B33" w:rsidRPr="00113B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by </w:t>
      </w:r>
      <w:r w:rsidRPr="0086485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DSWD 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 w:rsidRPr="0086485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(see Table 3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86485F" w:rsidRPr="00E36265" w:rsidRDefault="0086485F" w:rsidP="0086485F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485F" w:rsidRPr="0086485F" w:rsidRDefault="0086485F" w:rsidP="0086485F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7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406"/>
        <w:gridCol w:w="1352"/>
        <w:gridCol w:w="1352"/>
        <w:gridCol w:w="1352"/>
        <w:gridCol w:w="1352"/>
        <w:gridCol w:w="1352"/>
      </w:tblGrid>
      <w:tr w:rsidR="00113B33" w:rsidRPr="00113B33" w:rsidTr="00113B33">
        <w:trPr>
          <w:trHeight w:val="20"/>
        </w:trPr>
        <w:tc>
          <w:tcPr>
            <w:tcW w:w="1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13B33" w:rsidRPr="00113B33" w:rsidTr="00113B33">
        <w:trPr>
          <w:trHeight w:val="20"/>
        </w:trPr>
        <w:tc>
          <w:tcPr>
            <w:tcW w:w="1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13B33" w:rsidRPr="00113B33" w:rsidTr="00113B33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9570BD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246,503.25</w:t>
            </w:r>
            <w:r w:rsidR="00113B33"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70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246,503.25</w:t>
            </w:r>
          </w:p>
        </w:tc>
      </w:tr>
      <w:tr w:rsidR="00113B33" w:rsidRPr="00113B33" w:rsidTr="00113B33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9570BD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246,503.25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9570BD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246,503.25</w:t>
            </w:r>
          </w:p>
        </w:tc>
      </w:tr>
      <w:tr w:rsidR="00113B33" w:rsidRPr="00113B33" w:rsidTr="00113B33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9570BD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246,503.25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9570BD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246,503.25</w:t>
            </w:r>
          </w:p>
        </w:tc>
      </w:tr>
      <w:tr w:rsidR="00113B33" w:rsidRPr="00113B33" w:rsidTr="00113B33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9570BD" w:rsidRDefault="009570BD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70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246,503.25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9570BD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70B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246,503.25</w:t>
            </w:r>
          </w:p>
        </w:tc>
      </w:tr>
    </w:tbl>
    <w:p w:rsidR="006A0740" w:rsidRDefault="006A0740" w:rsidP="0086485F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86485F" w:rsidRPr="00AE7146" w:rsidRDefault="0086485F" w:rsidP="0086485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6A0740" w:rsidRDefault="006A0740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574970" w:rsidRDefault="00574970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4D48BC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27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E5C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7D4F1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917AFF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77410">
        <w:rPr>
          <w:rFonts w:ascii="Arial" w:eastAsia="Arial" w:hAnsi="Arial" w:cs="Arial"/>
          <w:b/>
          <w:sz w:val="24"/>
          <w:szCs w:val="24"/>
        </w:rPr>
        <w:t>VI</w:t>
      </w:r>
      <w:r w:rsidR="00A27C7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E7146" w:rsidRDefault="004D48BC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27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25FB" w:rsidRDefault="00430589" w:rsidP="0072048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72048A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-FO VII </w:t>
            </w:r>
            <w:r w:rsidR="00EF25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EF25FB" w:rsidRPr="00EF25F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  <w:p w:rsidR="004E0A00" w:rsidRDefault="00EF25FB" w:rsidP="0072048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 FO VII </w:t>
            </w:r>
            <w:r w:rsidR="00430589"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FC44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192 </w:t>
            </w:r>
            <w:r w:rsidR="006233AA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 amounting to Php 69,120.00,</w:t>
            </w:r>
            <w:r w:rsidR="00FC44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99</w:t>
            </w:r>
            <w:r w:rsidR="006233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hygiene kits amounting to Php 15,015.33, </w:t>
            </w:r>
            <w:r w:rsidR="00FC44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99 </w:t>
            </w:r>
            <w:r w:rsidR="006233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sleeping kits amounting to Php 97,903.08, </w:t>
            </w:r>
            <w:r w:rsidR="00FC44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99 </w:t>
            </w:r>
            <w:r w:rsidR="006233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dining kits amounting to Php 43,377.84, </w:t>
            </w:r>
            <w:r w:rsidR="00FC44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99 </w:t>
            </w:r>
            <w:r w:rsidR="006233AA">
              <w:rPr>
                <w:rFonts w:ascii="Arial" w:eastAsia="Arial" w:hAnsi="Arial" w:cs="Arial"/>
                <w:color w:val="0070C0"/>
                <w:sz w:val="20"/>
                <w:szCs w:val="24"/>
              </w:rPr>
              <w:t>cooking kits amounting to Php 21,087.00</w:t>
            </w:r>
            <w:r w:rsidR="00044B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2048A"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families.</w:t>
            </w:r>
          </w:p>
          <w:p w:rsidR="0072048A" w:rsidRDefault="0072048A" w:rsidP="0072048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DSWD</w:t>
            </w: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>-FO VII through the Crisis Intervention Section (CIS) provided a total of ₱</w:t>
            </w:r>
            <w:r w:rsidR="00E900F9">
              <w:rPr>
                <w:rFonts w:ascii="Arial" w:eastAsia="Arial" w:hAnsi="Arial" w:cs="Arial"/>
                <w:color w:val="0070C0"/>
                <w:sz w:val="20"/>
                <w:szCs w:val="24"/>
              </w:rPr>
              <w:t>525,000.00</w:t>
            </w: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worth of financial assistance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families.</w:t>
            </w:r>
          </w:p>
          <w:p w:rsidR="0072048A" w:rsidRPr="00640D01" w:rsidRDefault="0072048A" w:rsidP="00E417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is closely coordinating with </w:t>
            </w:r>
            <w:r w:rsidR="00E417CF">
              <w:rPr>
                <w:rFonts w:ascii="Arial" w:eastAsia="Arial" w:hAnsi="Arial" w:cs="Arial"/>
                <w:color w:val="0070C0"/>
                <w:sz w:val="20"/>
                <w:szCs w:val="24"/>
              </w:rPr>
              <w:t>the local government unit of Cebu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for further resource augmentation needed.</w:t>
            </w:r>
          </w:p>
        </w:tc>
      </w:tr>
    </w:tbl>
    <w:p w:rsidR="00353E21" w:rsidRPr="00EC0BA6" w:rsidRDefault="00353E21" w:rsidP="005E5BB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640D01" w:rsidRPr="001E33B7" w:rsidRDefault="00640D0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05A99">
        <w:rPr>
          <w:rFonts w:ascii="Arial" w:eastAsia="Arial" w:hAnsi="Arial" w:cs="Arial"/>
          <w:i/>
          <w:sz w:val="20"/>
          <w:szCs w:val="24"/>
        </w:rPr>
        <w:t>V</w:t>
      </w:r>
      <w:r w:rsidR="000B6E91">
        <w:rPr>
          <w:rFonts w:ascii="Arial" w:eastAsia="Arial" w:hAnsi="Arial" w:cs="Arial"/>
          <w:i/>
          <w:sz w:val="20"/>
          <w:szCs w:val="24"/>
        </w:rPr>
        <w:t>I</w:t>
      </w:r>
      <w:r w:rsidR="00124E77">
        <w:rPr>
          <w:rFonts w:ascii="Arial" w:eastAsia="Arial" w:hAnsi="Arial" w:cs="Arial"/>
          <w:i/>
          <w:sz w:val="20"/>
          <w:szCs w:val="24"/>
        </w:rPr>
        <w:t>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4D48BC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91C69" w:rsidRDefault="00D91C69" w:rsidP="00D91C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0E" w:rsidRDefault="000C290E">
      <w:pPr>
        <w:spacing w:after="0" w:line="240" w:lineRule="auto"/>
      </w:pPr>
      <w:r>
        <w:separator/>
      </w:r>
    </w:p>
  </w:endnote>
  <w:endnote w:type="continuationSeparator" w:id="0">
    <w:p w:rsidR="000C290E" w:rsidRDefault="000C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387C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D91C69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D91C69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387CCB" w:rsidRPr="00387CCB">
      <w:rPr>
        <w:rFonts w:ascii="Arial" w:eastAsia="Arial" w:hAnsi="Arial" w:cs="Arial"/>
        <w:sz w:val="14"/>
        <w:szCs w:val="18"/>
      </w:rPr>
      <w:t>DSWD DROMIC</w:t>
    </w:r>
    <w:r w:rsidR="00A67EC8">
      <w:rPr>
        <w:rFonts w:ascii="Arial" w:eastAsia="Arial" w:hAnsi="Arial" w:cs="Arial"/>
        <w:sz w:val="14"/>
        <w:szCs w:val="18"/>
      </w:rPr>
      <w:t xml:space="preserve"> </w:t>
    </w:r>
    <w:r w:rsidR="009E7AC6">
      <w:rPr>
        <w:rFonts w:ascii="Arial" w:eastAsia="Arial" w:hAnsi="Arial" w:cs="Arial"/>
        <w:sz w:val="14"/>
        <w:szCs w:val="18"/>
      </w:rPr>
      <w:t xml:space="preserve">Terminal Report </w:t>
    </w:r>
    <w:r w:rsidR="00387CCB">
      <w:rPr>
        <w:rFonts w:ascii="Arial" w:eastAsia="Arial" w:hAnsi="Arial" w:cs="Arial"/>
        <w:sz w:val="14"/>
        <w:szCs w:val="18"/>
      </w:rPr>
      <w:t xml:space="preserve">on the Fire Incident </w:t>
    </w:r>
    <w:r w:rsidR="00387CCB" w:rsidRPr="00387CCB">
      <w:rPr>
        <w:rFonts w:ascii="Arial" w:eastAsia="Arial" w:hAnsi="Arial" w:cs="Arial"/>
        <w:sz w:val="14"/>
        <w:szCs w:val="18"/>
      </w:rPr>
      <w:t xml:space="preserve">in Brgy. </w:t>
    </w:r>
    <w:r w:rsidR="00A67EC8">
      <w:rPr>
        <w:rFonts w:ascii="Arial" w:eastAsia="Arial" w:hAnsi="Arial" w:cs="Arial"/>
        <w:sz w:val="14"/>
        <w:szCs w:val="18"/>
      </w:rPr>
      <w:t>Inaywan, Cebu</w:t>
    </w:r>
    <w:r w:rsidR="00387CCB">
      <w:rPr>
        <w:rFonts w:ascii="Arial" w:eastAsia="Arial" w:hAnsi="Arial" w:cs="Arial"/>
        <w:sz w:val="14"/>
        <w:szCs w:val="18"/>
      </w:rPr>
      <w:t xml:space="preserve"> City</w:t>
    </w:r>
    <w:r w:rsidR="009E7AC6">
      <w:rPr>
        <w:rFonts w:ascii="Arial" w:eastAsia="Arial" w:hAnsi="Arial" w:cs="Arial"/>
        <w:sz w:val="14"/>
        <w:szCs w:val="18"/>
      </w:rPr>
      <w:t xml:space="preserve"> 27 January 2020</w:t>
    </w:r>
    <w:r w:rsidR="00387CCB" w:rsidRPr="00387CCB">
      <w:rPr>
        <w:rFonts w:ascii="Arial" w:eastAsia="Arial" w:hAnsi="Arial" w:cs="Arial"/>
        <w:sz w:val="14"/>
        <w:szCs w:val="18"/>
      </w:rPr>
      <w:t>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0E" w:rsidRDefault="000C290E">
      <w:pPr>
        <w:spacing w:after="0" w:line="240" w:lineRule="auto"/>
      </w:pPr>
      <w:r>
        <w:separator/>
      </w:r>
    </w:p>
  </w:footnote>
  <w:footnote w:type="continuationSeparator" w:id="0">
    <w:p w:rsidR="000C290E" w:rsidRDefault="000C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0631A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7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6"/>
  </w:num>
  <w:num w:numId="14">
    <w:abstractNumId w:val="2"/>
  </w:num>
  <w:num w:numId="15">
    <w:abstractNumId w:val="6"/>
  </w:num>
  <w:num w:numId="16">
    <w:abstractNumId w:val="29"/>
  </w:num>
  <w:num w:numId="17">
    <w:abstractNumId w:val="1"/>
  </w:num>
  <w:num w:numId="18">
    <w:abstractNumId w:val="24"/>
  </w:num>
  <w:num w:numId="19">
    <w:abstractNumId w:val="8"/>
  </w:num>
  <w:num w:numId="20">
    <w:abstractNumId w:val="21"/>
  </w:num>
  <w:num w:numId="21">
    <w:abstractNumId w:val="3"/>
  </w:num>
  <w:num w:numId="22">
    <w:abstractNumId w:val="31"/>
  </w:num>
  <w:num w:numId="23">
    <w:abstractNumId w:val="20"/>
  </w:num>
  <w:num w:numId="24">
    <w:abstractNumId w:val="17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B60"/>
    <w:rsid w:val="00001EC7"/>
    <w:rsid w:val="00006D6A"/>
    <w:rsid w:val="000101D0"/>
    <w:rsid w:val="000320F9"/>
    <w:rsid w:val="00042FEB"/>
    <w:rsid w:val="00044BE5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B4666"/>
    <w:rsid w:val="000B6E91"/>
    <w:rsid w:val="000C1F1B"/>
    <w:rsid w:val="000C290E"/>
    <w:rsid w:val="000D4315"/>
    <w:rsid w:val="000E1655"/>
    <w:rsid w:val="000E2AEE"/>
    <w:rsid w:val="000E38E9"/>
    <w:rsid w:val="000E3EB7"/>
    <w:rsid w:val="000E46DA"/>
    <w:rsid w:val="000E776D"/>
    <w:rsid w:val="000F4719"/>
    <w:rsid w:val="000F51DC"/>
    <w:rsid w:val="001023FB"/>
    <w:rsid w:val="00103995"/>
    <w:rsid w:val="00105A99"/>
    <w:rsid w:val="00105C0B"/>
    <w:rsid w:val="00113819"/>
    <w:rsid w:val="00113B33"/>
    <w:rsid w:val="001149A2"/>
    <w:rsid w:val="00116AF7"/>
    <w:rsid w:val="001208AB"/>
    <w:rsid w:val="00124E77"/>
    <w:rsid w:val="00130D24"/>
    <w:rsid w:val="001322D8"/>
    <w:rsid w:val="00135103"/>
    <w:rsid w:val="00141BDA"/>
    <w:rsid w:val="0014323A"/>
    <w:rsid w:val="00152984"/>
    <w:rsid w:val="00154140"/>
    <w:rsid w:val="00155842"/>
    <w:rsid w:val="0015747A"/>
    <w:rsid w:val="00160189"/>
    <w:rsid w:val="00163478"/>
    <w:rsid w:val="001823AB"/>
    <w:rsid w:val="001847A6"/>
    <w:rsid w:val="00186433"/>
    <w:rsid w:val="001A52AE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3693F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2A2C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0BF1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CCB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685"/>
    <w:rsid w:val="00427B91"/>
    <w:rsid w:val="00430589"/>
    <w:rsid w:val="0043090C"/>
    <w:rsid w:val="0043203F"/>
    <w:rsid w:val="004347A5"/>
    <w:rsid w:val="004411B3"/>
    <w:rsid w:val="00446E51"/>
    <w:rsid w:val="00450660"/>
    <w:rsid w:val="00453344"/>
    <w:rsid w:val="004579A2"/>
    <w:rsid w:val="004664E2"/>
    <w:rsid w:val="004717D0"/>
    <w:rsid w:val="00471854"/>
    <w:rsid w:val="00474826"/>
    <w:rsid w:val="00475561"/>
    <w:rsid w:val="004864BA"/>
    <w:rsid w:val="004876E8"/>
    <w:rsid w:val="0049181E"/>
    <w:rsid w:val="004A0040"/>
    <w:rsid w:val="004A129A"/>
    <w:rsid w:val="004A4E86"/>
    <w:rsid w:val="004B48A7"/>
    <w:rsid w:val="004B6643"/>
    <w:rsid w:val="004C1E37"/>
    <w:rsid w:val="004C3428"/>
    <w:rsid w:val="004C4558"/>
    <w:rsid w:val="004C5B12"/>
    <w:rsid w:val="004D48BC"/>
    <w:rsid w:val="004E0A00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970"/>
    <w:rsid w:val="00574C3B"/>
    <w:rsid w:val="00576CFB"/>
    <w:rsid w:val="0058313A"/>
    <w:rsid w:val="005838F4"/>
    <w:rsid w:val="00590B6B"/>
    <w:rsid w:val="005924AF"/>
    <w:rsid w:val="00596FC3"/>
    <w:rsid w:val="005A2012"/>
    <w:rsid w:val="005A4967"/>
    <w:rsid w:val="005B7748"/>
    <w:rsid w:val="005B7B3E"/>
    <w:rsid w:val="005E5BB7"/>
    <w:rsid w:val="005F7749"/>
    <w:rsid w:val="00604C05"/>
    <w:rsid w:val="0061793C"/>
    <w:rsid w:val="006233AA"/>
    <w:rsid w:val="00625882"/>
    <w:rsid w:val="00640D01"/>
    <w:rsid w:val="0065029D"/>
    <w:rsid w:val="00651F59"/>
    <w:rsid w:val="00653F9B"/>
    <w:rsid w:val="00656B2C"/>
    <w:rsid w:val="00662BAE"/>
    <w:rsid w:val="006650DE"/>
    <w:rsid w:val="00666FE6"/>
    <w:rsid w:val="00672917"/>
    <w:rsid w:val="006752D3"/>
    <w:rsid w:val="00675A3F"/>
    <w:rsid w:val="00681432"/>
    <w:rsid w:val="0068614A"/>
    <w:rsid w:val="0069567C"/>
    <w:rsid w:val="0069788A"/>
    <w:rsid w:val="006A0740"/>
    <w:rsid w:val="006A1B1F"/>
    <w:rsid w:val="006A20B9"/>
    <w:rsid w:val="006A6903"/>
    <w:rsid w:val="006B6DC3"/>
    <w:rsid w:val="006B7F71"/>
    <w:rsid w:val="006C514D"/>
    <w:rsid w:val="006C715C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369"/>
    <w:rsid w:val="00711920"/>
    <w:rsid w:val="00714A58"/>
    <w:rsid w:val="007202DE"/>
    <w:rsid w:val="0072048A"/>
    <w:rsid w:val="00721CF9"/>
    <w:rsid w:val="0072412A"/>
    <w:rsid w:val="007313BB"/>
    <w:rsid w:val="0073140C"/>
    <w:rsid w:val="0073758B"/>
    <w:rsid w:val="007379E9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2AF3"/>
    <w:rsid w:val="007A4F6E"/>
    <w:rsid w:val="007B4427"/>
    <w:rsid w:val="007B50B5"/>
    <w:rsid w:val="007B53AF"/>
    <w:rsid w:val="007C56EA"/>
    <w:rsid w:val="007C7869"/>
    <w:rsid w:val="007D4F10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1A4E"/>
    <w:rsid w:val="008524BB"/>
    <w:rsid w:val="00852627"/>
    <w:rsid w:val="00853C77"/>
    <w:rsid w:val="00853FDC"/>
    <w:rsid w:val="0086485F"/>
    <w:rsid w:val="00867BE4"/>
    <w:rsid w:val="00871F0E"/>
    <w:rsid w:val="00881096"/>
    <w:rsid w:val="008872E1"/>
    <w:rsid w:val="00893054"/>
    <w:rsid w:val="008A0185"/>
    <w:rsid w:val="008A3577"/>
    <w:rsid w:val="008A6E1F"/>
    <w:rsid w:val="008B1217"/>
    <w:rsid w:val="008C10E0"/>
    <w:rsid w:val="008C3620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17AFF"/>
    <w:rsid w:val="00927484"/>
    <w:rsid w:val="009279A3"/>
    <w:rsid w:val="00931158"/>
    <w:rsid w:val="00932978"/>
    <w:rsid w:val="00933631"/>
    <w:rsid w:val="0094182F"/>
    <w:rsid w:val="0094530F"/>
    <w:rsid w:val="00952AB9"/>
    <w:rsid w:val="00954C16"/>
    <w:rsid w:val="009570BD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64E7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E7AC6"/>
    <w:rsid w:val="009F3664"/>
    <w:rsid w:val="009F6591"/>
    <w:rsid w:val="00A0061A"/>
    <w:rsid w:val="00A020E9"/>
    <w:rsid w:val="00A055F1"/>
    <w:rsid w:val="00A11CE7"/>
    <w:rsid w:val="00A1443E"/>
    <w:rsid w:val="00A1706A"/>
    <w:rsid w:val="00A27C78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67EC8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78F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AB9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C75D1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0CB3"/>
    <w:rsid w:val="00C518C2"/>
    <w:rsid w:val="00C52AD7"/>
    <w:rsid w:val="00C61BA3"/>
    <w:rsid w:val="00C623C1"/>
    <w:rsid w:val="00C71876"/>
    <w:rsid w:val="00C71B5A"/>
    <w:rsid w:val="00C80AD6"/>
    <w:rsid w:val="00C81BAD"/>
    <w:rsid w:val="00C81C26"/>
    <w:rsid w:val="00C90531"/>
    <w:rsid w:val="00C9090C"/>
    <w:rsid w:val="00C90B3E"/>
    <w:rsid w:val="00C94159"/>
    <w:rsid w:val="00CA0036"/>
    <w:rsid w:val="00CA73C9"/>
    <w:rsid w:val="00CB0FF9"/>
    <w:rsid w:val="00CB30FA"/>
    <w:rsid w:val="00CB57AA"/>
    <w:rsid w:val="00CC14B1"/>
    <w:rsid w:val="00CC14CC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1162"/>
    <w:rsid w:val="00D320DD"/>
    <w:rsid w:val="00D517A7"/>
    <w:rsid w:val="00D56EC1"/>
    <w:rsid w:val="00D61622"/>
    <w:rsid w:val="00D622B5"/>
    <w:rsid w:val="00D63CC6"/>
    <w:rsid w:val="00D74AFD"/>
    <w:rsid w:val="00D75F49"/>
    <w:rsid w:val="00D77410"/>
    <w:rsid w:val="00D80029"/>
    <w:rsid w:val="00D91C6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7CF"/>
    <w:rsid w:val="00E418EA"/>
    <w:rsid w:val="00E41D60"/>
    <w:rsid w:val="00E476B6"/>
    <w:rsid w:val="00E56999"/>
    <w:rsid w:val="00E61798"/>
    <w:rsid w:val="00E645D3"/>
    <w:rsid w:val="00E66AEB"/>
    <w:rsid w:val="00E67387"/>
    <w:rsid w:val="00E755D3"/>
    <w:rsid w:val="00E75E02"/>
    <w:rsid w:val="00E8312E"/>
    <w:rsid w:val="00E900F9"/>
    <w:rsid w:val="00E95489"/>
    <w:rsid w:val="00E9712A"/>
    <w:rsid w:val="00E97EC4"/>
    <w:rsid w:val="00EA3452"/>
    <w:rsid w:val="00EA3BBF"/>
    <w:rsid w:val="00EA6DBA"/>
    <w:rsid w:val="00EB1CE8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5FB"/>
    <w:rsid w:val="00EF2BE1"/>
    <w:rsid w:val="00EF34B8"/>
    <w:rsid w:val="00EF5971"/>
    <w:rsid w:val="00F04A6C"/>
    <w:rsid w:val="00F066B0"/>
    <w:rsid w:val="00F110ED"/>
    <w:rsid w:val="00F15F41"/>
    <w:rsid w:val="00F21274"/>
    <w:rsid w:val="00F2441C"/>
    <w:rsid w:val="00F24B77"/>
    <w:rsid w:val="00F32924"/>
    <w:rsid w:val="00F367F6"/>
    <w:rsid w:val="00F45DFE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93246"/>
    <w:rsid w:val="00FA0ED7"/>
    <w:rsid w:val="00FA1122"/>
    <w:rsid w:val="00FA2A4C"/>
    <w:rsid w:val="00FA639D"/>
    <w:rsid w:val="00FA665B"/>
    <w:rsid w:val="00FC3E81"/>
    <w:rsid w:val="00FC4485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D0D1-2225-47B7-B0A2-194D20CD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22</cp:revision>
  <dcterms:created xsi:type="dcterms:W3CDTF">2020-01-27T02:37:00Z</dcterms:created>
  <dcterms:modified xsi:type="dcterms:W3CDTF">2020-01-27T07:13:00Z</dcterms:modified>
</cp:coreProperties>
</file>