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E919FC">
        <w:rPr>
          <w:rFonts w:ascii="Arial" w:eastAsia="Arial" w:hAnsi="Arial" w:cs="Arial"/>
          <w:b/>
          <w:sz w:val="32"/>
          <w:szCs w:val="32"/>
        </w:rPr>
        <w:t>North Fairview, Quezon</w:t>
      </w:r>
      <w:r w:rsidR="00200A9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E919FC">
        <w:rPr>
          <w:rFonts w:ascii="Arial" w:eastAsia="Arial" w:hAnsi="Arial" w:cs="Arial"/>
          <w:sz w:val="24"/>
          <w:szCs w:val="24"/>
        </w:rPr>
        <w:t>06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E919FC">
        <w:rPr>
          <w:rFonts w:ascii="Arial" w:hAnsi="Arial" w:cs="Arial"/>
          <w:color w:val="222222"/>
        </w:rPr>
        <w:t>04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E919FC">
        <w:rPr>
          <w:rFonts w:ascii="Arial" w:hAnsi="Arial" w:cs="Arial"/>
          <w:color w:val="222222"/>
        </w:rPr>
        <w:t>2:15</w:t>
      </w:r>
      <w:r w:rsidR="000C0C06">
        <w:rPr>
          <w:rFonts w:ascii="Arial" w:hAnsi="Arial" w:cs="Arial"/>
          <w:color w:val="222222"/>
        </w:rPr>
        <w:t xml:space="preserve"> PM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E919FC">
        <w:rPr>
          <w:rFonts w:ascii="Arial" w:hAnsi="Arial" w:cs="Arial"/>
          <w:color w:val="222222"/>
        </w:rPr>
        <w:t>at Astor St.,</w:t>
      </w:r>
      <w:r w:rsidR="006244D0">
        <w:rPr>
          <w:rFonts w:ascii="Arial" w:hAnsi="Arial" w:cs="Arial"/>
          <w:color w:val="222222"/>
        </w:rPr>
        <w:t xml:space="preserve"> </w:t>
      </w:r>
      <w:r w:rsidR="00514A8A">
        <w:rPr>
          <w:rFonts w:ascii="Arial" w:hAnsi="Arial" w:cs="Arial"/>
          <w:color w:val="222222"/>
        </w:rPr>
        <w:t>Brgy</w:t>
      </w:r>
      <w:r w:rsidR="000C0C06">
        <w:rPr>
          <w:rFonts w:ascii="Arial" w:hAnsi="Arial" w:cs="Arial"/>
          <w:color w:val="222222"/>
        </w:rPr>
        <w:t xml:space="preserve">. </w:t>
      </w:r>
      <w:r w:rsidR="00E919FC">
        <w:rPr>
          <w:rFonts w:ascii="Arial" w:hAnsi="Arial" w:cs="Arial"/>
          <w:color w:val="222222"/>
        </w:rPr>
        <w:t>North Fairview, Quezon</w:t>
      </w:r>
      <w:r w:rsidR="000C0C06">
        <w:rPr>
          <w:rFonts w:ascii="Arial" w:hAnsi="Arial" w:cs="Arial"/>
          <w:color w:val="222222"/>
        </w:rPr>
        <w:t xml:space="preserve"> City. The cause of fire is </w:t>
      </w:r>
      <w:r w:rsidR="00E919FC">
        <w:rPr>
          <w:rFonts w:ascii="Arial" w:hAnsi="Arial" w:cs="Arial"/>
          <w:color w:val="222222"/>
        </w:rPr>
        <w:t>due to faulty wiring.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919F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C0C0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E919FC">
        <w:rPr>
          <w:rFonts w:ascii="Arial" w:eastAsia="Arial" w:hAnsi="Arial" w:cs="Arial"/>
          <w:b/>
          <w:color w:val="0070C0"/>
          <w:sz w:val="24"/>
          <w:szCs w:val="24"/>
        </w:rPr>
        <w:t>231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E919FC">
        <w:rPr>
          <w:rFonts w:ascii="Arial" w:eastAsia="Arial" w:hAnsi="Arial" w:cs="Arial"/>
          <w:b/>
          <w:color w:val="0070C0"/>
          <w:sz w:val="24"/>
          <w:szCs w:val="24"/>
        </w:rPr>
        <w:t>North Fairview, Quezon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62"/>
        <w:gridCol w:w="1443"/>
        <w:gridCol w:w="1443"/>
      </w:tblGrid>
      <w:tr w:rsidR="00E919FC" w:rsidRPr="00E919FC" w:rsidTr="00E919FC">
        <w:trPr>
          <w:trHeight w:val="30"/>
        </w:trPr>
        <w:tc>
          <w:tcPr>
            <w:tcW w:w="2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919FC" w:rsidRPr="00E919FC" w:rsidTr="00E919FC">
        <w:trPr>
          <w:trHeight w:val="30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19FC" w:rsidRPr="00E919FC" w:rsidTr="00E919FC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</w:tr>
      <w:tr w:rsidR="00E919FC" w:rsidRPr="00E919FC" w:rsidTr="00E919FC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</w:tr>
      <w:tr w:rsidR="00E919FC" w:rsidRPr="00E919FC" w:rsidTr="00E919FC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E919FC">
        <w:rPr>
          <w:rFonts w:ascii="Arial" w:hAnsi="Arial" w:cs="Arial"/>
          <w:b/>
          <w:bCs/>
          <w:color w:val="0070C0"/>
          <w:sz w:val="24"/>
        </w:rPr>
        <w:t>37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E919FC">
        <w:rPr>
          <w:rFonts w:ascii="Arial" w:hAnsi="Arial" w:cs="Arial"/>
          <w:b/>
          <w:bCs/>
          <w:color w:val="0070C0"/>
          <w:sz w:val="24"/>
        </w:rPr>
        <w:t>153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at </w:t>
      </w:r>
      <w:r w:rsidR="00B316D3" w:rsidRPr="00E919FC">
        <w:rPr>
          <w:rFonts w:ascii="Arial" w:hAnsi="Arial" w:cs="Arial"/>
          <w:color w:val="000000"/>
          <w:sz w:val="24"/>
        </w:rPr>
        <w:t xml:space="preserve">the </w:t>
      </w:r>
      <w:r w:rsidR="00E919FC">
        <w:rPr>
          <w:rFonts w:ascii="Arial" w:hAnsi="Arial" w:cs="Arial"/>
          <w:b/>
          <w:color w:val="0070C0"/>
          <w:sz w:val="24"/>
        </w:rPr>
        <w:t xml:space="preserve">Cong. Alfred </w:t>
      </w:r>
      <w:r w:rsidR="00E919FC" w:rsidRPr="00E919FC">
        <w:rPr>
          <w:rFonts w:ascii="Arial" w:hAnsi="Arial" w:cs="Arial"/>
          <w:b/>
          <w:color w:val="0070C0"/>
          <w:sz w:val="24"/>
        </w:rPr>
        <w:t>Vargas Hall,</w:t>
      </w:r>
      <w:r w:rsidR="00E919FC">
        <w:rPr>
          <w:rFonts w:ascii="Arial" w:hAnsi="Arial" w:cs="Arial"/>
          <w:b/>
          <w:color w:val="0070C0"/>
          <w:sz w:val="24"/>
        </w:rPr>
        <w:t xml:space="preserve"> </w:t>
      </w:r>
      <w:r w:rsidR="00E919FC" w:rsidRPr="00E919FC">
        <w:rPr>
          <w:rFonts w:ascii="Arial" w:hAnsi="Arial" w:cs="Arial"/>
          <w:b/>
          <w:color w:val="0070C0"/>
          <w:sz w:val="24"/>
        </w:rPr>
        <w:t>North Fairview</w:t>
      </w:r>
      <w:r w:rsidR="00E919FC">
        <w:rPr>
          <w:rFonts w:ascii="Arial" w:hAnsi="Arial" w:cs="Arial"/>
          <w:b/>
          <w:color w:val="0070C0"/>
          <w:sz w:val="24"/>
        </w:rPr>
        <w:t xml:space="preserve"> </w:t>
      </w:r>
      <w:r w:rsidR="00E919FC" w:rsidRPr="00E919FC">
        <w:rPr>
          <w:rFonts w:ascii="Arial" w:hAnsi="Arial" w:cs="Arial"/>
          <w:b/>
          <w:color w:val="0070C0"/>
          <w:sz w:val="24"/>
        </w:rPr>
        <w:t xml:space="preserve">High School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484"/>
        <w:gridCol w:w="1566"/>
        <w:gridCol w:w="1566"/>
        <w:gridCol w:w="1566"/>
        <w:gridCol w:w="1563"/>
      </w:tblGrid>
      <w:tr w:rsidR="00E919FC" w:rsidRPr="00E919FC" w:rsidTr="00E919FC">
        <w:trPr>
          <w:trHeight w:val="30"/>
        </w:trPr>
        <w:tc>
          <w:tcPr>
            <w:tcW w:w="1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919FC" w:rsidRPr="00E919FC" w:rsidTr="00E919FC">
        <w:trPr>
          <w:trHeight w:val="2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19FC" w:rsidRPr="00E919FC" w:rsidTr="00E919FC">
        <w:trPr>
          <w:trHeight w:val="20"/>
        </w:trPr>
        <w:tc>
          <w:tcPr>
            <w:tcW w:w="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919FC" w:rsidRPr="00E919FC" w:rsidTr="00E919FC">
        <w:trPr>
          <w:trHeight w:val="20"/>
        </w:trPr>
        <w:tc>
          <w:tcPr>
            <w:tcW w:w="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</w:tr>
      <w:tr w:rsidR="00E919FC" w:rsidRPr="00E919FC" w:rsidTr="00E919FC">
        <w:trPr>
          <w:trHeight w:val="20"/>
        </w:trPr>
        <w:tc>
          <w:tcPr>
            <w:tcW w:w="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</w:tr>
      <w:tr w:rsidR="00E919FC" w:rsidRPr="00E919FC" w:rsidTr="00E919FC">
        <w:trPr>
          <w:trHeight w:val="20"/>
        </w:trPr>
        <w:tc>
          <w:tcPr>
            <w:tcW w:w="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E919FC">
        <w:rPr>
          <w:rFonts w:ascii="Arial" w:hAnsi="Arial" w:cs="Arial"/>
          <w:b/>
          <w:bCs/>
          <w:color w:val="0070C0"/>
          <w:sz w:val="24"/>
        </w:rPr>
        <w:t xml:space="preserve">44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Pr="00EF396A">
        <w:rPr>
          <w:rFonts w:ascii="Arial" w:hAnsi="Arial" w:cs="Arial"/>
          <w:bCs/>
          <w:sz w:val="24"/>
        </w:rPr>
        <w:t xml:space="preserve">were </w:t>
      </w:r>
      <w:r>
        <w:rPr>
          <w:rFonts w:ascii="Arial" w:hAnsi="Arial" w:cs="Arial"/>
          <w:b/>
          <w:bCs/>
          <w:color w:val="0070C0"/>
          <w:sz w:val="24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11"/>
        <w:gridCol w:w="1699"/>
        <w:gridCol w:w="1901"/>
      </w:tblGrid>
      <w:tr w:rsidR="00E919FC" w:rsidRPr="00E919FC" w:rsidTr="00E919FC">
        <w:trPr>
          <w:trHeight w:val="30"/>
        </w:trPr>
        <w:tc>
          <w:tcPr>
            <w:tcW w:w="2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919FC" w:rsidRPr="00E919FC" w:rsidTr="00E919FC">
        <w:trPr>
          <w:trHeight w:val="255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919FC" w:rsidRPr="00E919FC" w:rsidTr="00E919FC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19FC" w:rsidRPr="00E919FC" w:rsidTr="00E919FC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19FC" w:rsidRPr="00E919FC" w:rsidTr="00E919FC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EF396A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F396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EF396A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396A" w:rsidRPr="00EF396A" w:rsidRDefault="00DC71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FO-NCR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Social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Services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B4190B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relief augmentation.</w:t>
            </w:r>
          </w:p>
          <w:p w:rsidR="00B4190B" w:rsidRDefault="00EF396A" w:rsidP="00B419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FO-NCR is on standby and is ready to provide assistance once requested.</w:t>
            </w:r>
          </w:p>
          <w:p w:rsidR="00B4190B" w:rsidRPr="00B4190B" w:rsidRDefault="00B4190B" w:rsidP="00B419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190B">
              <w:rPr>
                <w:rFonts w:ascii="Arial" w:eastAsia="Arial" w:hAnsi="Arial" w:cs="Arial"/>
                <w:color w:val="0070C0"/>
                <w:sz w:val="20"/>
                <w:szCs w:val="24"/>
              </w:rPr>
              <w:t>The needs of the affected families such as food and water are continuously being provided by Quezon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190B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Services and Development Department (SSDD). The needs of the survivors will continuously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190B">
              <w:rPr>
                <w:rFonts w:ascii="Arial" w:eastAsia="Arial" w:hAnsi="Arial" w:cs="Arial"/>
                <w:color w:val="0070C0"/>
                <w:sz w:val="20"/>
                <w:szCs w:val="24"/>
              </w:rPr>
              <w:t>be monitored by Quezon City SSDD.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737C5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FA" w:rsidRDefault="004344FA">
      <w:pPr>
        <w:spacing w:after="0" w:line="240" w:lineRule="auto"/>
      </w:pPr>
      <w:r>
        <w:separator/>
      </w:r>
    </w:p>
  </w:endnote>
  <w:endnote w:type="continuationSeparator" w:id="0">
    <w:p w:rsidR="004344FA" w:rsidRDefault="004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37C5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37C5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</w:t>
    </w:r>
    <w:r w:rsidR="00EF396A">
      <w:rPr>
        <w:rFonts w:ascii="Arial" w:eastAsia="Arial" w:hAnsi="Arial" w:cs="Arial"/>
        <w:sz w:val="12"/>
        <w:szCs w:val="18"/>
      </w:rPr>
      <w:t>Brgy. North Fairview, Quezon</w:t>
    </w:r>
    <w:r w:rsidR="00200A91">
      <w:rPr>
        <w:rFonts w:ascii="Arial" w:eastAsia="Arial" w:hAnsi="Arial" w:cs="Arial"/>
        <w:sz w:val="12"/>
        <w:szCs w:val="18"/>
      </w:rPr>
      <w:t xml:space="preserve"> City</w:t>
    </w:r>
    <w:r w:rsidR="00C5172A">
      <w:rPr>
        <w:rFonts w:ascii="Arial" w:eastAsia="Arial" w:hAnsi="Arial" w:cs="Arial"/>
        <w:sz w:val="12"/>
        <w:szCs w:val="18"/>
      </w:rPr>
      <w:t xml:space="preserve"> </w:t>
    </w:r>
    <w:r w:rsidR="00EF396A">
      <w:rPr>
        <w:rFonts w:ascii="Arial" w:eastAsia="Arial" w:hAnsi="Arial" w:cs="Arial"/>
        <w:sz w:val="12"/>
        <w:szCs w:val="18"/>
      </w:rPr>
      <w:t>as of 06 Febr</w:t>
    </w:r>
    <w:r w:rsidR="00C5172A" w:rsidRPr="00C5172A">
      <w:rPr>
        <w:rFonts w:ascii="Arial" w:eastAsia="Arial" w:hAnsi="Arial" w:cs="Arial"/>
        <w:sz w:val="12"/>
        <w:szCs w:val="18"/>
      </w:rPr>
      <w:t>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FA" w:rsidRDefault="004344FA">
      <w:pPr>
        <w:spacing w:after="0" w:line="240" w:lineRule="auto"/>
      </w:pPr>
      <w:r>
        <w:separator/>
      </w:r>
    </w:p>
  </w:footnote>
  <w:footnote w:type="continuationSeparator" w:id="0">
    <w:p w:rsidR="004344FA" w:rsidRDefault="004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3DE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CBE1-7A3C-45F2-A481-E1BB4CF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2020-02-06T03:47:00Z</dcterms:created>
  <dcterms:modified xsi:type="dcterms:W3CDTF">2020-02-06T03:47:00Z</dcterms:modified>
</cp:coreProperties>
</file>