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3670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337C05">
        <w:rPr>
          <w:rFonts w:ascii="Arial" w:eastAsia="Arial" w:hAnsi="Arial" w:cs="Arial"/>
          <w:b/>
          <w:sz w:val="32"/>
          <w:szCs w:val="24"/>
        </w:rPr>
        <w:t>1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:rsidR="00470FE4" w:rsidRPr="00AE4967" w:rsidRDefault="00C670C1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8E6CFF" w:rsidRPr="008E6CFF">
        <w:rPr>
          <w:rFonts w:ascii="Arial" w:eastAsia="Arial" w:hAnsi="Arial" w:cs="Arial"/>
          <w:b/>
          <w:sz w:val="32"/>
          <w:szCs w:val="24"/>
        </w:rPr>
        <w:t>Brgy. Ca</w:t>
      </w:r>
      <w:r w:rsidR="008E6CFF">
        <w:rPr>
          <w:rFonts w:ascii="Arial" w:eastAsia="Arial" w:hAnsi="Arial" w:cs="Arial"/>
          <w:b/>
          <w:sz w:val="32"/>
          <w:szCs w:val="24"/>
        </w:rPr>
        <w:t>mudlas, Bindoy, Negros Oriental</w:t>
      </w:r>
    </w:p>
    <w:p w:rsidR="00E94313" w:rsidRDefault="00D26E8D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8E6CFF">
        <w:rPr>
          <w:rFonts w:ascii="Arial" w:eastAsia="Arial" w:hAnsi="Arial" w:cs="Arial"/>
          <w:sz w:val="24"/>
          <w:szCs w:val="24"/>
        </w:rPr>
        <w:t>03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sz w:val="24"/>
          <w:szCs w:val="24"/>
        </w:rPr>
        <w:t>M</w:t>
      </w:r>
      <w:r w:rsidR="008E6CFF">
        <w:rPr>
          <w:rFonts w:ascii="Arial" w:eastAsia="Arial" w:hAnsi="Arial" w:cs="Arial"/>
          <w:sz w:val="24"/>
          <w:szCs w:val="24"/>
        </w:rPr>
        <w:t xml:space="preserve">ay </w:t>
      </w:r>
      <w:r w:rsidR="00337C05">
        <w:rPr>
          <w:rFonts w:ascii="Arial" w:eastAsia="Arial" w:hAnsi="Arial" w:cs="Arial"/>
          <w:sz w:val="24"/>
          <w:szCs w:val="24"/>
        </w:rPr>
        <w:t>2020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B74A80">
        <w:rPr>
          <w:rFonts w:ascii="Arial" w:eastAsia="Arial" w:hAnsi="Arial" w:cs="Arial"/>
          <w:sz w:val="24"/>
          <w:szCs w:val="24"/>
        </w:rPr>
        <w:t>4</w:t>
      </w:r>
      <w:r w:rsidR="008E6CFF">
        <w:rPr>
          <w:rFonts w:ascii="Arial" w:eastAsia="Arial" w:hAnsi="Arial" w:cs="Arial"/>
          <w:sz w:val="24"/>
          <w:szCs w:val="24"/>
        </w:rPr>
        <w:t>PM</w:t>
      </w:r>
    </w:p>
    <w:p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470FE4" w:rsidRPr="00AE4967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C670C1" w:rsidRPr="00AE4967" w:rsidRDefault="00C670C1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E6CFF" w:rsidRDefault="00C670C1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E6CFF">
        <w:rPr>
          <w:rFonts w:ascii="Arial" w:eastAsia="Arial" w:hAnsi="Arial" w:cs="Arial"/>
          <w:color w:val="000000" w:themeColor="text1"/>
          <w:sz w:val="24"/>
          <w:szCs w:val="24"/>
        </w:rPr>
        <w:t>30 April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E6CFF">
        <w:rPr>
          <w:rFonts w:ascii="Arial" w:eastAsia="Arial" w:hAnsi="Arial" w:cs="Arial"/>
          <w:color w:val="000000" w:themeColor="text1"/>
          <w:sz w:val="24"/>
          <w:szCs w:val="24"/>
        </w:rPr>
        <w:t>4:00 PM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E6CFF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between the </w:t>
      </w:r>
      <w:r w:rsidR="008E6CFF" w:rsidRPr="008E6CFF">
        <w:rPr>
          <w:rFonts w:ascii="Arial" w:eastAsia="Arial" w:hAnsi="Arial" w:cs="Arial"/>
          <w:color w:val="000000" w:themeColor="text1"/>
          <w:sz w:val="24"/>
          <w:szCs w:val="24"/>
        </w:rPr>
        <w:t xml:space="preserve">94th Infantry Battalion and Bindoy Police Station </w:t>
      </w:r>
      <w:r w:rsidR="008E6CFF">
        <w:rPr>
          <w:rFonts w:ascii="Arial" w:eastAsia="Arial" w:hAnsi="Arial" w:cs="Arial"/>
          <w:color w:val="000000" w:themeColor="text1"/>
          <w:sz w:val="24"/>
          <w:szCs w:val="24"/>
        </w:rPr>
        <w:t xml:space="preserve">against the </w:t>
      </w:r>
      <w:r w:rsidR="008E6CFF" w:rsidRPr="008E6CFF">
        <w:rPr>
          <w:rFonts w:ascii="Arial" w:eastAsia="Arial" w:hAnsi="Arial" w:cs="Arial"/>
          <w:color w:val="000000" w:themeColor="text1"/>
          <w:sz w:val="24"/>
          <w:szCs w:val="24"/>
        </w:rPr>
        <w:t xml:space="preserve">alleged </w:t>
      </w:r>
      <w:r w:rsidR="008E6CFF">
        <w:rPr>
          <w:rFonts w:ascii="Arial" w:eastAsia="Arial" w:hAnsi="Arial" w:cs="Arial"/>
          <w:color w:val="000000" w:themeColor="text1"/>
          <w:sz w:val="24"/>
          <w:szCs w:val="24"/>
        </w:rPr>
        <w:t xml:space="preserve">members of </w:t>
      </w:r>
      <w:r w:rsidR="008E6CFF" w:rsidRPr="008E6CFF">
        <w:rPr>
          <w:rFonts w:ascii="Arial" w:eastAsia="Arial" w:hAnsi="Arial" w:cs="Arial"/>
          <w:color w:val="000000" w:themeColor="text1"/>
          <w:sz w:val="24"/>
          <w:szCs w:val="24"/>
        </w:rPr>
        <w:t>NPA in Sitio Namunduan, Brgy. Camudlas, Bindoy, Negros Oriental</w:t>
      </w:r>
      <w:r w:rsidR="008E6CFF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caused the displacement of individuals in the area.</w:t>
      </w:r>
    </w:p>
    <w:p w:rsidR="008E6CFF" w:rsidRDefault="008E6CFF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803294" w:rsidRDefault="00AE4967" w:rsidP="006A367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6CFF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1B7B64" w:rsidRDefault="001B7B64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Pr="001B7B64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70FE4" w:rsidRPr="00B0192D" w:rsidRDefault="00FF4FE1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FF4FE1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FF4FE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103</w:t>
      </w:r>
      <w:r w:rsidR="009F0B7A" w:rsidRPr="005930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930E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930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387</w:t>
      </w:r>
      <w:r w:rsidR="009F0B7A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E6BC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4C0ABF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4C0ABF" w:rsidRPr="004C0ABF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Pr="00FF4FE1">
        <w:rPr>
          <w:rFonts w:ascii="Arial" w:eastAsia="Arial" w:hAnsi="Arial" w:cs="Arial"/>
          <w:b/>
          <w:color w:val="auto"/>
          <w:sz w:val="24"/>
          <w:szCs w:val="24"/>
        </w:rPr>
        <w:t xml:space="preserve">Bindoy, Negros Oriental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97971" w:rsidRPr="00B0192D">
        <w:rPr>
          <w:rFonts w:ascii="Arial" w:eastAsia="Arial" w:hAnsi="Arial" w:cs="Arial"/>
          <w:color w:val="000000" w:themeColor="text1"/>
          <w:sz w:val="24"/>
          <w:szCs w:val="24"/>
        </w:rPr>
        <w:t>see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1).</w:t>
      </w:r>
    </w:p>
    <w:p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Families/Persons</w:t>
      </w:r>
    </w:p>
    <w:tbl>
      <w:tblPr>
        <w:tblW w:w="489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13"/>
        <w:gridCol w:w="1750"/>
        <w:gridCol w:w="1420"/>
        <w:gridCol w:w="1414"/>
      </w:tblGrid>
      <w:tr w:rsidR="008E6CFF" w:rsidRPr="008E6CFF" w:rsidTr="00FF4FE1">
        <w:trPr>
          <w:trHeight w:val="43"/>
        </w:trPr>
        <w:tc>
          <w:tcPr>
            <w:tcW w:w="2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F4FE1" w:rsidRPr="008E6CFF" w:rsidTr="00FF4FE1">
        <w:trPr>
          <w:trHeight w:val="43"/>
        </w:trPr>
        <w:tc>
          <w:tcPr>
            <w:tcW w:w="2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1" w:rsidRPr="008E6CFF" w:rsidRDefault="00FF4FE1" w:rsidP="008E6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8E6CFF" w:rsidRDefault="00FF4FE1" w:rsidP="008E6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8E6CFF" w:rsidRDefault="00FF4FE1" w:rsidP="008E6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8E6CFF" w:rsidRDefault="00FF4FE1" w:rsidP="008E6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E6CFF" w:rsidRPr="008E6CFF" w:rsidTr="00FF4FE1">
        <w:trPr>
          <w:trHeight w:val="20"/>
        </w:trPr>
        <w:tc>
          <w:tcPr>
            <w:tcW w:w="25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387 </w:t>
            </w:r>
          </w:p>
        </w:tc>
      </w:tr>
      <w:tr w:rsidR="008E6CFF" w:rsidRPr="008E6CFF" w:rsidTr="00FF4FE1">
        <w:trPr>
          <w:trHeight w:val="20"/>
        </w:trPr>
        <w:tc>
          <w:tcPr>
            <w:tcW w:w="2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387 </w:t>
            </w:r>
          </w:p>
        </w:tc>
      </w:tr>
      <w:tr w:rsidR="008E6CFF" w:rsidRPr="008E6CFF" w:rsidTr="00FF4FE1">
        <w:trPr>
          <w:trHeight w:val="20"/>
        </w:trPr>
        <w:tc>
          <w:tcPr>
            <w:tcW w:w="2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387 </w:t>
            </w:r>
          </w:p>
        </w:tc>
      </w:tr>
      <w:tr w:rsidR="008E6CFF" w:rsidRPr="008E6CFF" w:rsidTr="008E6CF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CF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CFF">
              <w:rPr>
                <w:rFonts w:ascii="Arial" w:hAnsi="Arial" w:cs="Arial"/>
                <w:i/>
                <w:iCs/>
                <w:sz w:val="20"/>
                <w:szCs w:val="20"/>
              </w:rPr>
              <w:t>Bindoy (Payabon)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E6C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C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C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387 </w:t>
            </w:r>
          </w:p>
        </w:tc>
      </w:tr>
    </w:tbl>
    <w:p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:rsidR="008E6CFF" w:rsidRDefault="008E6CFF" w:rsidP="008E6CF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7E5483" w:rsidRPr="00803294" w:rsidRDefault="007E5483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E5711" w:rsidRPr="00744B5B" w:rsidRDefault="00DE5711" w:rsidP="00FF4FE1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FF4FE1" w:rsidRDefault="00DE5711" w:rsidP="00FF4FE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:rsidR="00DE5711" w:rsidRPr="00FF4FE1" w:rsidRDefault="00DE5711" w:rsidP="00FF4FE1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FF4FE1">
        <w:rPr>
          <w:rFonts w:ascii="Arial" w:hAnsi="Arial" w:cs="Arial"/>
          <w:sz w:val="24"/>
          <w:shd w:val="clear" w:color="auto" w:fill="FFFFFF"/>
        </w:rPr>
        <w:t>A total of </w:t>
      </w:r>
      <w:r w:rsidRPr="00FF4FE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FF4FE1" w:rsidRPr="00FF4FE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37,080.00 </w:t>
      </w:r>
      <w:r w:rsidRPr="00FF4FE1">
        <w:rPr>
          <w:rFonts w:ascii="Arial" w:hAnsi="Arial" w:cs="Arial"/>
          <w:sz w:val="24"/>
          <w:shd w:val="clear" w:color="auto" w:fill="FFFFFF"/>
        </w:rPr>
        <w:t>worth of assistance was provided</w:t>
      </w:r>
      <w:r w:rsidR="001E28A6" w:rsidRPr="00FF4FE1">
        <w:rPr>
          <w:rFonts w:ascii="Arial" w:hAnsi="Arial" w:cs="Arial"/>
          <w:sz w:val="24"/>
          <w:shd w:val="clear" w:color="auto" w:fill="FFFFFF"/>
        </w:rPr>
        <w:t xml:space="preserve"> by </w:t>
      </w:r>
      <w:r w:rsidR="001E28A6" w:rsidRPr="00FF4FE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="001E28A6" w:rsidRPr="00FF4FE1">
        <w:rPr>
          <w:rFonts w:ascii="Arial" w:hAnsi="Arial" w:cs="Arial"/>
          <w:sz w:val="24"/>
          <w:shd w:val="clear" w:color="auto" w:fill="FFFFFF"/>
        </w:rPr>
        <w:t xml:space="preserve"> </w:t>
      </w:r>
      <w:r w:rsidRPr="00FF4FE1">
        <w:rPr>
          <w:rFonts w:ascii="Arial" w:hAnsi="Arial" w:cs="Arial"/>
          <w:sz w:val="24"/>
          <w:shd w:val="clear" w:color="auto" w:fill="FFFFFF"/>
        </w:rPr>
        <w:t>to the affected families</w:t>
      </w:r>
      <w:r w:rsidR="00FF4FE1">
        <w:rPr>
          <w:rFonts w:ascii="Arial" w:hAnsi="Arial" w:cs="Arial"/>
          <w:sz w:val="24"/>
          <w:shd w:val="clear" w:color="auto" w:fill="FFFFFF"/>
        </w:rPr>
        <w:t xml:space="preserve"> </w:t>
      </w:r>
      <w:r w:rsidR="00FF4FE1" w:rsidRPr="00FF4FE1">
        <w:rPr>
          <w:rFonts w:ascii="Arial" w:hAnsi="Arial" w:cs="Arial"/>
          <w:color w:val="auto"/>
          <w:sz w:val="24"/>
          <w:shd w:val="clear" w:color="auto" w:fill="FFFFFF"/>
        </w:rPr>
        <w:t>(see Table 2</w:t>
      </w:r>
      <w:r w:rsidRPr="00FF4FE1">
        <w:rPr>
          <w:rFonts w:ascii="Arial" w:hAnsi="Arial" w:cs="Arial"/>
          <w:color w:val="auto"/>
          <w:sz w:val="24"/>
          <w:shd w:val="clear" w:color="auto" w:fill="FFFFFF"/>
        </w:rPr>
        <w:t>).</w:t>
      </w:r>
    </w:p>
    <w:p w:rsidR="00DE5711" w:rsidRPr="004C1C3F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DE5711" w:rsidRPr="00FF4FE1" w:rsidRDefault="00DE5711" w:rsidP="00FF4FE1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FF4FE1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FF4FE1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2</w:t>
      </w:r>
      <w:r w:rsidRPr="00FF4FE1">
        <w:rPr>
          <w:rFonts w:ascii="Arial" w:eastAsia="Times New Roman" w:hAnsi="Arial" w:cs="Arial"/>
          <w:b/>
          <w:bCs/>
          <w:i/>
          <w:sz w:val="20"/>
          <w:szCs w:val="24"/>
        </w:rPr>
        <w:t>. Cost of Assistance Provided to Affected Families / Persons</w:t>
      </w:r>
    </w:p>
    <w:tbl>
      <w:tblPr>
        <w:tblW w:w="4911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399"/>
        <w:gridCol w:w="1144"/>
        <w:gridCol w:w="1125"/>
        <w:gridCol w:w="993"/>
        <w:gridCol w:w="1134"/>
        <w:gridCol w:w="1626"/>
      </w:tblGrid>
      <w:tr w:rsidR="00FF4FE1" w:rsidRPr="00FF4FE1" w:rsidTr="00FF4FE1">
        <w:trPr>
          <w:trHeight w:val="43"/>
        </w:trPr>
        <w:tc>
          <w:tcPr>
            <w:tcW w:w="18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F4FE1" w:rsidRPr="00FF4FE1" w:rsidTr="00FF4FE1">
        <w:trPr>
          <w:trHeight w:val="20"/>
        </w:trPr>
        <w:tc>
          <w:tcPr>
            <w:tcW w:w="18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F4FE1" w:rsidRPr="00FF4FE1" w:rsidTr="00FF4FE1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37,080.00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37,080.00 </w:t>
            </w:r>
          </w:p>
        </w:tc>
      </w:tr>
      <w:tr w:rsidR="00FF4FE1" w:rsidRPr="00FF4FE1" w:rsidTr="00FF4FE1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37,080.00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37,080.00 </w:t>
            </w:r>
          </w:p>
        </w:tc>
      </w:tr>
      <w:tr w:rsidR="00FF4FE1" w:rsidRPr="00FF4FE1" w:rsidTr="00FF4FE1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37,080.00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37,080.00 </w:t>
            </w:r>
          </w:p>
        </w:tc>
      </w:tr>
      <w:tr w:rsidR="00FF4FE1" w:rsidRPr="00FF4FE1" w:rsidTr="00FF4FE1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>Bindoy (Payabon)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37,080.00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37,080.00 </w:t>
            </w:r>
          </w:p>
        </w:tc>
      </w:tr>
    </w:tbl>
    <w:p w:rsidR="00420B1E" w:rsidRDefault="00420B1E" w:rsidP="00DE571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E5711" w:rsidRDefault="003D1EA6" w:rsidP="00DE571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FF4FE1">
        <w:rPr>
          <w:rFonts w:ascii="Arial" w:eastAsia="Arial" w:hAnsi="Arial" w:cs="Arial"/>
          <w:i/>
          <w:color w:val="0070C0"/>
          <w:sz w:val="16"/>
          <w:szCs w:val="24"/>
        </w:rPr>
        <w:t>ource: DSWD-FO VII</w:t>
      </w:r>
    </w:p>
    <w:p w:rsidR="00803294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90200" w:rsidRPr="001B7B64" w:rsidRDefault="00890200" w:rsidP="00DE571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1B7B64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6"/>
        <w:gridCol w:w="8041"/>
      </w:tblGrid>
      <w:tr w:rsidR="003D0AEA" w:rsidRPr="009E72D8" w:rsidTr="00420B1E">
        <w:trPr>
          <w:trHeight w:val="20"/>
          <w:tblHeader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:rsidTr="00420B1E">
        <w:trPr>
          <w:trHeight w:val="20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9F2794" w:rsidP="00FF5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03 May 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1B7B64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F2794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:rsidR="00420B1E" w:rsidRDefault="00420B1E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420B1E" w:rsidRDefault="00420B1E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420B1E" w:rsidRDefault="00420B1E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420B1E" w:rsidRDefault="00420B1E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470FE4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lastRenderedPageBreak/>
        <w:t>DSWD-FO</w:t>
      </w:r>
      <w:r w:rsidR="00E04AE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FF4FE1">
        <w:rPr>
          <w:rFonts w:ascii="Arial" w:eastAsia="Arial" w:hAnsi="Arial" w:cs="Arial"/>
          <w:b/>
          <w:color w:val="222222"/>
          <w:sz w:val="24"/>
          <w:szCs w:val="24"/>
        </w:rPr>
        <w:t>VII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039"/>
      </w:tblGrid>
      <w:tr w:rsidR="00470FE4" w:rsidRPr="009E72D8" w:rsidTr="00420B1E">
        <w:trPr>
          <w:trHeight w:val="20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2" w:name="_1fob9te" w:colFirst="0" w:colLast="0"/>
            <w:bookmarkEnd w:id="2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8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9E72D8" w:rsidTr="00420B1E">
        <w:trPr>
          <w:trHeight w:val="273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60C" w:rsidRPr="00420B1E" w:rsidRDefault="00420B1E" w:rsidP="00420B1E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03 </w:t>
            </w:r>
            <w:r w:rsidR="009F2794" w:rsidRPr="00420B1E">
              <w:rPr>
                <w:rFonts w:ascii="Arial" w:eastAsia="Arial" w:hAnsi="Arial" w:cs="Arial"/>
                <w:color w:val="0070C0"/>
                <w:sz w:val="20"/>
                <w:szCs w:val="24"/>
              </w:rPr>
              <w:t>May 2020</w:t>
            </w:r>
          </w:p>
        </w:tc>
        <w:tc>
          <w:tcPr>
            <w:tcW w:w="8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794" w:rsidRPr="00420B1E" w:rsidRDefault="009F2794" w:rsidP="009F2794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20B1E">
              <w:rPr>
                <w:rFonts w:ascii="Arial" w:eastAsia="Arial" w:hAnsi="Arial" w:cs="Arial"/>
                <w:color w:val="0070C0"/>
                <w:sz w:val="20"/>
                <w:szCs w:val="24"/>
              </w:rPr>
              <w:t>Displaced families have temporarily stayed at Bindoy Central School and Cabugan Central School. Ongoing assessment and validation is being conducted on the breakdown of families and individuals staying in the 2 evacuation centers.</w:t>
            </w:r>
          </w:p>
          <w:p w:rsidR="00420B1E" w:rsidRPr="00420B1E" w:rsidRDefault="009F2794" w:rsidP="00420B1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20B1E">
              <w:rPr>
                <w:rFonts w:ascii="Arial" w:eastAsia="Arial" w:hAnsi="Arial" w:cs="Arial"/>
                <w:color w:val="0070C0"/>
                <w:sz w:val="20"/>
                <w:szCs w:val="24"/>
              </w:rPr>
              <w:t>The local government of Bindoy provided meals</w:t>
            </w:r>
            <w:r w:rsidR="00420B1E" w:rsidRPr="00420B1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face masks, drinking water, </w:t>
            </w:r>
            <w:r w:rsidR="00420B1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hygiene kits, </w:t>
            </w:r>
            <w:r w:rsidR="00420B1E" w:rsidRPr="00420B1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sleeping foams, mats and plywood to </w:t>
            </w:r>
            <w:r w:rsidRPr="00420B1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420B1E" w:rsidRPr="00420B1E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 families.</w:t>
            </w:r>
          </w:p>
          <w:p w:rsidR="0095060C" w:rsidRPr="00420B1E" w:rsidRDefault="009F2794" w:rsidP="00420B1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20B1E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</w:t>
            </w:r>
            <w:r w:rsidR="00FF55CF" w:rsidRPr="00420B1E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7D567D" w:rsidRPr="00420B1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20B1E" w:rsidRPr="00420B1E">
              <w:rPr>
                <w:rFonts w:ascii="Arial" w:eastAsia="Arial" w:hAnsi="Arial" w:cs="Arial"/>
                <w:color w:val="0070C0"/>
                <w:sz w:val="20"/>
                <w:szCs w:val="24"/>
              </w:rPr>
              <w:t>through the Municipal Action Team distributed family food packs to the affected families.</w:t>
            </w:r>
          </w:p>
        </w:tc>
      </w:tr>
    </w:tbl>
    <w:p w:rsidR="00803294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3" w:name="_3znysh7" w:colFirst="0" w:colLast="0"/>
      <w:bookmarkEnd w:id="3"/>
    </w:p>
    <w:p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:rsidR="00470FE4" w:rsidRPr="001B7B64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FF4FE1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VII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:rsidR="00D6454A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F4FE1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:rsidR="00FF4FE1" w:rsidRPr="001B7B64" w:rsidRDefault="00FF4FE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25F5C" w:rsidRPr="00AE4967" w:rsidRDefault="00FF4FE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A949BE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AE4967" w:rsidRDefault="00D03E80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05" w:rsidRDefault="00A94705">
      <w:pPr>
        <w:spacing w:after="0" w:line="240" w:lineRule="auto"/>
      </w:pPr>
      <w:r>
        <w:separator/>
      </w:r>
    </w:p>
  </w:endnote>
  <w:endnote w:type="continuationSeparator" w:id="0">
    <w:p w:rsidR="00A94705" w:rsidRDefault="00A9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80" w:rsidRDefault="00B74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B74A80">
      <w:rPr>
        <w:b/>
        <w:noProof/>
        <w:sz w:val="14"/>
        <w:szCs w:val="16"/>
      </w:rPr>
      <w:t>1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B74A80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>DSWD DROMIC Report #</w:t>
    </w:r>
    <w:r w:rsidR="004643F0">
      <w:rPr>
        <w:sz w:val="14"/>
        <w:szCs w:val="16"/>
      </w:rPr>
      <w:t>1</w:t>
    </w:r>
    <w:r w:rsidR="003D0AEA" w:rsidRPr="000F4A2E">
      <w:rPr>
        <w:sz w:val="14"/>
        <w:szCs w:val="16"/>
      </w:rPr>
      <w:t xml:space="preserve"> on </w:t>
    </w:r>
    <w:r w:rsidR="003712FF" w:rsidRPr="000F4A2E">
      <w:rPr>
        <w:sz w:val="14"/>
        <w:szCs w:val="16"/>
      </w:rPr>
      <w:t xml:space="preserve">the </w:t>
    </w:r>
    <w:r w:rsidR="002D1B51">
      <w:rPr>
        <w:sz w:val="14"/>
        <w:szCs w:val="16"/>
      </w:rPr>
      <w:t xml:space="preserve">Armed Conflict in </w:t>
    </w:r>
    <w:r w:rsidR="00FF4FE1" w:rsidRPr="00FF4FE1">
      <w:rPr>
        <w:sz w:val="14"/>
        <w:szCs w:val="16"/>
      </w:rPr>
      <w:t xml:space="preserve">Brgy. Camudlas, Bindoy, Negros Oriental </w:t>
    </w:r>
    <w:r w:rsidR="00C670C1" w:rsidRPr="000F4A2E">
      <w:rPr>
        <w:sz w:val="14"/>
        <w:szCs w:val="16"/>
      </w:rPr>
      <w:t xml:space="preserve">as of </w:t>
    </w:r>
    <w:r w:rsidR="00FF4FE1">
      <w:rPr>
        <w:sz w:val="14"/>
        <w:szCs w:val="16"/>
      </w:rPr>
      <w:t>03 May</w:t>
    </w:r>
    <w:r w:rsidR="00420B1E">
      <w:rPr>
        <w:sz w:val="14"/>
        <w:szCs w:val="16"/>
      </w:rPr>
      <w:t xml:space="preserve"> 2020,</w:t>
    </w:r>
    <w:r w:rsidR="00B74A80">
      <w:rPr>
        <w:sz w:val="14"/>
        <w:szCs w:val="16"/>
      </w:rPr>
      <w:t xml:space="preserve"> 4</w:t>
    </w:r>
    <w:bookmarkStart w:id="5" w:name="_GoBack"/>
    <w:bookmarkEnd w:id="5"/>
    <w:r w:rsidR="00FF4FE1">
      <w:rPr>
        <w:sz w:val="14"/>
        <w:szCs w:val="16"/>
      </w:rPr>
      <w:t>P</w:t>
    </w:r>
    <w:r w:rsidR="003D0AEA" w:rsidRPr="000F4A2E">
      <w:rPr>
        <w:sz w:val="14"/>
        <w:szCs w:val="16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80" w:rsidRDefault="00B74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05" w:rsidRDefault="00A94705">
      <w:pPr>
        <w:spacing w:after="0" w:line="240" w:lineRule="auto"/>
      </w:pPr>
      <w:r>
        <w:separator/>
      </w:r>
    </w:p>
  </w:footnote>
  <w:footnote w:type="continuationSeparator" w:id="0">
    <w:p w:rsidR="00A94705" w:rsidRDefault="00A9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80" w:rsidRDefault="00B74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30C0AE" wp14:editId="685C9944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70BF89" wp14:editId="5770D1F2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470FE4" w:rsidRPr="005C3E99" w:rsidRDefault="00470FE4" w:rsidP="005C3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80" w:rsidRDefault="00B74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4C10"/>
    <w:multiLevelType w:val="hybridMultilevel"/>
    <w:tmpl w:val="526EBA80"/>
    <w:lvl w:ilvl="0" w:tplc="2612ED5A">
      <w:start w:val="3"/>
      <w:numFmt w:val="decimalZero"/>
      <w:lvlText w:val="%1"/>
      <w:lvlJc w:val="left"/>
      <w:pPr>
        <w:ind w:left="1211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931" w:hanging="360"/>
      </w:pPr>
    </w:lvl>
    <w:lvl w:ilvl="2" w:tplc="3409001B" w:tentative="1">
      <w:start w:val="1"/>
      <w:numFmt w:val="lowerRoman"/>
      <w:lvlText w:val="%3."/>
      <w:lvlJc w:val="right"/>
      <w:pPr>
        <w:ind w:left="2651" w:hanging="180"/>
      </w:pPr>
    </w:lvl>
    <w:lvl w:ilvl="3" w:tplc="3409000F" w:tentative="1">
      <w:start w:val="1"/>
      <w:numFmt w:val="decimal"/>
      <w:lvlText w:val="%4."/>
      <w:lvlJc w:val="left"/>
      <w:pPr>
        <w:ind w:left="3371" w:hanging="360"/>
      </w:pPr>
    </w:lvl>
    <w:lvl w:ilvl="4" w:tplc="34090019" w:tentative="1">
      <w:start w:val="1"/>
      <w:numFmt w:val="lowerLetter"/>
      <w:lvlText w:val="%5."/>
      <w:lvlJc w:val="left"/>
      <w:pPr>
        <w:ind w:left="4091" w:hanging="360"/>
      </w:pPr>
    </w:lvl>
    <w:lvl w:ilvl="5" w:tplc="3409001B" w:tentative="1">
      <w:start w:val="1"/>
      <w:numFmt w:val="lowerRoman"/>
      <w:lvlText w:val="%6."/>
      <w:lvlJc w:val="right"/>
      <w:pPr>
        <w:ind w:left="4811" w:hanging="180"/>
      </w:pPr>
    </w:lvl>
    <w:lvl w:ilvl="6" w:tplc="3409000F" w:tentative="1">
      <w:start w:val="1"/>
      <w:numFmt w:val="decimal"/>
      <w:lvlText w:val="%7."/>
      <w:lvlJc w:val="left"/>
      <w:pPr>
        <w:ind w:left="5531" w:hanging="360"/>
      </w:pPr>
    </w:lvl>
    <w:lvl w:ilvl="7" w:tplc="34090019" w:tentative="1">
      <w:start w:val="1"/>
      <w:numFmt w:val="lowerLetter"/>
      <w:lvlText w:val="%8."/>
      <w:lvlJc w:val="left"/>
      <w:pPr>
        <w:ind w:left="6251" w:hanging="360"/>
      </w:pPr>
    </w:lvl>
    <w:lvl w:ilvl="8" w:tplc="3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635C9F"/>
    <w:multiLevelType w:val="multilevel"/>
    <w:tmpl w:val="C07A8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6E57B15"/>
    <w:multiLevelType w:val="multilevel"/>
    <w:tmpl w:val="3FB217D0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47F99"/>
    <w:rsid w:val="00070B8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13534"/>
    <w:rsid w:val="002737D6"/>
    <w:rsid w:val="00283C78"/>
    <w:rsid w:val="00286609"/>
    <w:rsid w:val="00286B32"/>
    <w:rsid w:val="002977DD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90A67"/>
    <w:rsid w:val="00395CFD"/>
    <w:rsid w:val="003D0AEA"/>
    <w:rsid w:val="003D1EA6"/>
    <w:rsid w:val="003E7AEE"/>
    <w:rsid w:val="003F06EB"/>
    <w:rsid w:val="0041370B"/>
    <w:rsid w:val="00420B1E"/>
    <w:rsid w:val="00437650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FCB"/>
    <w:rsid w:val="005930E9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3DE4"/>
    <w:rsid w:val="0064063A"/>
    <w:rsid w:val="006612E6"/>
    <w:rsid w:val="0066273F"/>
    <w:rsid w:val="006760CF"/>
    <w:rsid w:val="006924ED"/>
    <w:rsid w:val="006A3670"/>
    <w:rsid w:val="006A63BA"/>
    <w:rsid w:val="006A657B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803294"/>
    <w:rsid w:val="008103A9"/>
    <w:rsid w:val="00830BFD"/>
    <w:rsid w:val="00875F87"/>
    <w:rsid w:val="00890200"/>
    <w:rsid w:val="008B44A7"/>
    <w:rsid w:val="008C4054"/>
    <w:rsid w:val="008D156C"/>
    <w:rsid w:val="008D47B8"/>
    <w:rsid w:val="008E6CFF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9F2794"/>
    <w:rsid w:val="00A04B18"/>
    <w:rsid w:val="00A07CC1"/>
    <w:rsid w:val="00A22603"/>
    <w:rsid w:val="00A255B3"/>
    <w:rsid w:val="00A35600"/>
    <w:rsid w:val="00A4423E"/>
    <w:rsid w:val="00A543B6"/>
    <w:rsid w:val="00A6749E"/>
    <w:rsid w:val="00A76FAB"/>
    <w:rsid w:val="00A94705"/>
    <w:rsid w:val="00A949BE"/>
    <w:rsid w:val="00AE4967"/>
    <w:rsid w:val="00AF1169"/>
    <w:rsid w:val="00AF47F9"/>
    <w:rsid w:val="00AF5800"/>
    <w:rsid w:val="00B0192D"/>
    <w:rsid w:val="00B25F5C"/>
    <w:rsid w:val="00B333AC"/>
    <w:rsid w:val="00B3674B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4A80"/>
    <w:rsid w:val="00B750B9"/>
    <w:rsid w:val="00B809A2"/>
    <w:rsid w:val="00B8502F"/>
    <w:rsid w:val="00BB3E5B"/>
    <w:rsid w:val="00BD685F"/>
    <w:rsid w:val="00BF446F"/>
    <w:rsid w:val="00BF537C"/>
    <w:rsid w:val="00BF5B14"/>
    <w:rsid w:val="00C16747"/>
    <w:rsid w:val="00C240FB"/>
    <w:rsid w:val="00C335E5"/>
    <w:rsid w:val="00C34052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12A3"/>
    <w:rsid w:val="00D03E80"/>
    <w:rsid w:val="00D1096E"/>
    <w:rsid w:val="00D241F6"/>
    <w:rsid w:val="00D26E8D"/>
    <w:rsid w:val="00D30B5C"/>
    <w:rsid w:val="00D52BBE"/>
    <w:rsid w:val="00D6202F"/>
    <w:rsid w:val="00D63239"/>
    <w:rsid w:val="00D6454A"/>
    <w:rsid w:val="00DA15B5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54C7"/>
    <w:rsid w:val="00FF08BB"/>
    <w:rsid w:val="00FF4FE1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9ED1A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78CC-A321-433F-A62A-7BAA5D33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2020-05-03T08:18:00Z</dcterms:created>
  <dcterms:modified xsi:type="dcterms:W3CDTF">2020-05-03T08:18:00Z</dcterms:modified>
</cp:coreProperties>
</file>