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254407" w14:textId="5DA42164" w:rsidR="0065622C" w:rsidRDefault="00172936" w:rsidP="009A236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9A2364">
        <w:rPr>
          <w:rFonts w:ascii="Arial" w:eastAsia="Arial" w:hAnsi="Arial" w:cs="Arial"/>
          <w:b/>
          <w:sz w:val="32"/>
          <w:szCs w:val="24"/>
        </w:rPr>
        <w:t>Terminal Report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BD77AD5" w14:textId="0B89022E" w:rsidR="00172936" w:rsidRPr="007D3BCE" w:rsidRDefault="00172936" w:rsidP="009A236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5622C">
        <w:rPr>
          <w:rFonts w:ascii="Arial" w:eastAsia="Arial" w:hAnsi="Arial" w:cs="Arial"/>
          <w:b/>
          <w:sz w:val="32"/>
          <w:szCs w:val="24"/>
        </w:rPr>
        <w:t>Lebak</w:t>
      </w:r>
      <w:proofErr w:type="spellEnd"/>
      <w:r w:rsidR="0065622C">
        <w:rPr>
          <w:rFonts w:ascii="Arial" w:eastAsia="Arial" w:hAnsi="Arial" w:cs="Arial"/>
          <w:b/>
          <w:sz w:val="32"/>
          <w:szCs w:val="24"/>
        </w:rPr>
        <w:t xml:space="preserve">, Sultan </w:t>
      </w:r>
      <w:proofErr w:type="spellStart"/>
      <w:r w:rsidR="0065622C">
        <w:rPr>
          <w:rFonts w:ascii="Arial" w:eastAsia="Arial" w:hAnsi="Arial" w:cs="Arial"/>
          <w:b/>
          <w:sz w:val="32"/>
          <w:szCs w:val="24"/>
        </w:rPr>
        <w:t>Kudarat</w:t>
      </w:r>
      <w:proofErr w:type="spellEnd"/>
    </w:p>
    <w:p w14:paraId="44903E08" w14:textId="13530FF3" w:rsidR="00C14D9B" w:rsidRDefault="009A2364" w:rsidP="009A236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 June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</w:t>
      </w:r>
      <w:r w:rsidR="0065622C">
        <w:rPr>
          <w:rFonts w:ascii="Arial" w:eastAsia="Arial" w:hAnsi="Arial" w:cs="Arial"/>
          <w:sz w:val="24"/>
          <w:szCs w:val="24"/>
        </w:rPr>
        <w:t>20</w:t>
      </w:r>
      <w:r w:rsidR="00172936"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172936" w:rsidRPr="007D3BCE">
        <w:rPr>
          <w:rFonts w:ascii="Arial" w:eastAsia="Arial" w:hAnsi="Arial" w:cs="Arial"/>
          <w:sz w:val="24"/>
          <w:szCs w:val="24"/>
        </w:rPr>
        <w:t>PM</w:t>
      </w:r>
    </w:p>
    <w:p w14:paraId="6CA88E19" w14:textId="77777777" w:rsidR="002B4E98" w:rsidRPr="007D3BCE" w:rsidRDefault="002B4E98" w:rsidP="009A236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0EE4C2" w14:textId="0EA66094" w:rsidR="00364068" w:rsidRPr="009A2364" w:rsidRDefault="009A2364" w:rsidP="009A236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9A2364"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social disorganization that occurred in </w:t>
      </w:r>
      <w:proofErr w:type="spellStart"/>
      <w:r w:rsidRPr="009A2364">
        <w:rPr>
          <w:rFonts w:ascii="Arial" w:eastAsia="Arial" w:hAnsi="Arial" w:cs="Arial"/>
          <w:i/>
          <w:color w:val="auto"/>
          <w:sz w:val="24"/>
          <w:szCs w:val="24"/>
        </w:rPr>
        <w:t>Lebak</w:t>
      </w:r>
      <w:proofErr w:type="spellEnd"/>
      <w:r w:rsidRPr="009A2364">
        <w:rPr>
          <w:rFonts w:ascii="Arial" w:eastAsia="Arial" w:hAnsi="Arial" w:cs="Arial"/>
          <w:i/>
          <w:color w:val="auto"/>
          <w:sz w:val="24"/>
          <w:szCs w:val="24"/>
        </w:rPr>
        <w:t xml:space="preserve">, </w:t>
      </w:r>
      <w:proofErr w:type="spellStart"/>
      <w:r w:rsidRPr="009A2364">
        <w:rPr>
          <w:rFonts w:ascii="Arial" w:eastAsia="Arial" w:hAnsi="Arial" w:cs="Arial"/>
          <w:i/>
          <w:color w:val="auto"/>
          <w:sz w:val="24"/>
          <w:szCs w:val="24"/>
        </w:rPr>
        <w:t>Sulkadarat</w:t>
      </w:r>
      <w:proofErr w:type="spellEnd"/>
      <w:r w:rsidRPr="009A2364">
        <w:rPr>
          <w:rFonts w:ascii="Arial" w:eastAsia="Arial" w:hAnsi="Arial" w:cs="Arial"/>
          <w:i/>
          <w:color w:val="auto"/>
          <w:sz w:val="24"/>
          <w:szCs w:val="24"/>
        </w:rPr>
        <w:t xml:space="preserve"> on 02 May 2020. An </w:t>
      </w:r>
      <w:r w:rsidR="0065622C" w:rsidRPr="009A2364">
        <w:rPr>
          <w:rFonts w:ascii="Arial" w:hAnsi="Arial" w:cs="Arial"/>
          <w:i/>
          <w:sz w:val="24"/>
          <w:szCs w:val="24"/>
        </w:rPr>
        <w:t>unidentified armed group</w:t>
      </w:r>
      <w:r w:rsidR="00FB218F" w:rsidRPr="009A2364">
        <w:rPr>
          <w:rFonts w:ascii="Arial" w:hAnsi="Arial" w:cs="Arial"/>
          <w:i/>
          <w:sz w:val="24"/>
          <w:szCs w:val="24"/>
        </w:rPr>
        <w:t xml:space="preserve"> </w:t>
      </w:r>
      <w:r w:rsidR="0065622C" w:rsidRPr="009A2364">
        <w:rPr>
          <w:rFonts w:ascii="Arial" w:hAnsi="Arial" w:cs="Arial"/>
          <w:i/>
          <w:sz w:val="24"/>
          <w:szCs w:val="24"/>
        </w:rPr>
        <w:t xml:space="preserve">created panic and fear to the residents in </w:t>
      </w:r>
      <w:proofErr w:type="spellStart"/>
      <w:r w:rsidR="0065622C" w:rsidRPr="009A2364">
        <w:rPr>
          <w:rFonts w:ascii="Arial" w:hAnsi="Arial" w:cs="Arial"/>
          <w:i/>
          <w:sz w:val="24"/>
          <w:szCs w:val="24"/>
        </w:rPr>
        <w:t>Sitio</w:t>
      </w:r>
      <w:proofErr w:type="spellEnd"/>
      <w:r w:rsidR="0065622C" w:rsidRPr="009A23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5622C" w:rsidRPr="009A2364">
        <w:rPr>
          <w:rFonts w:ascii="Arial" w:hAnsi="Arial" w:cs="Arial"/>
          <w:i/>
          <w:sz w:val="24"/>
          <w:szCs w:val="24"/>
        </w:rPr>
        <w:t>Tapudi</w:t>
      </w:r>
      <w:proofErr w:type="spellEnd"/>
      <w:r w:rsidR="0065622C" w:rsidRPr="009A2364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="0065622C" w:rsidRPr="009A2364">
        <w:rPr>
          <w:rFonts w:ascii="Arial" w:hAnsi="Arial" w:cs="Arial"/>
          <w:i/>
          <w:sz w:val="24"/>
          <w:szCs w:val="24"/>
        </w:rPr>
        <w:t>Purok</w:t>
      </w:r>
      <w:proofErr w:type="spellEnd"/>
      <w:r w:rsidR="0065622C" w:rsidRPr="009A23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5622C" w:rsidRPr="009A2364">
        <w:rPr>
          <w:rFonts w:ascii="Arial" w:hAnsi="Arial" w:cs="Arial"/>
          <w:i/>
          <w:sz w:val="24"/>
          <w:szCs w:val="24"/>
        </w:rPr>
        <w:t>Niyog</w:t>
      </w:r>
      <w:proofErr w:type="spellEnd"/>
      <w:r w:rsidR="0065622C" w:rsidRPr="009A236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65622C" w:rsidRPr="009A2364">
        <w:rPr>
          <w:rFonts w:ascii="Arial" w:hAnsi="Arial" w:cs="Arial"/>
          <w:i/>
          <w:sz w:val="24"/>
          <w:szCs w:val="24"/>
        </w:rPr>
        <w:t>Lebak</w:t>
      </w:r>
      <w:proofErr w:type="spellEnd"/>
      <w:r w:rsidR="0065622C" w:rsidRPr="009A2364">
        <w:rPr>
          <w:rFonts w:ascii="Arial" w:hAnsi="Arial" w:cs="Arial"/>
          <w:i/>
          <w:sz w:val="24"/>
          <w:szCs w:val="24"/>
        </w:rPr>
        <w:t xml:space="preserve">, Sultan </w:t>
      </w:r>
      <w:proofErr w:type="spellStart"/>
      <w:r w:rsidR="0065622C" w:rsidRPr="009A2364">
        <w:rPr>
          <w:rFonts w:ascii="Arial" w:hAnsi="Arial" w:cs="Arial"/>
          <w:i/>
          <w:sz w:val="24"/>
          <w:szCs w:val="24"/>
        </w:rPr>
        <w:t>Kudarat</w:t>
      </w:r>
      <w:proofErr w:type="spellEnd"/>
      <w:r w:rsidR="0065622C" w:rsidRPr="009A2364">
        <w:rPr>
          <w:rFonts w:ascii="Arial" w:hAnsi="Arial" w:cs="Arial"/>
          <w:i/>
          <w:sz w:val="24"/>
          <w:szCs w:val="24"/>
        </w:rPr>
        <w:t xml:space="preserve"> by firing indiscriminately</w:t>
      </w:r>
      <w:r w:rsidR="002F6424" w:rsidRPr="009A2364">
        <w:rPr>
          <w:rFonts w:ascii="Arial" w:hAnsi="Arial" w:cs="Arial"/>
          <w:i/>
          <w:sz w:val="24"/>
          <w:szCs w:val="24"/>
        </w:rPr>
        <w:t xml:space="preserve"> in the area</w:t>
      </w:r>
      <w:r w:rsidR="00767EF9" w:rsidRPr="009A2364">
        <w:rPr>
          <w:rFonts w:ascii="Arial" w:hAnsi="Arial" w:cs="Arial"/>
          <w:i/>
          <w:sz w:val="24"/>
          <w:szCs w:val="24"/>
        </w:rPr>
        <w:t>.</w:t>
      </w:r>
      <w:r w:rsidR="00666599" w:rsidRPr="009A2364">
        <w:rPr>
          <w:rFonts w:ascii="Arial" w:hAnsi="Arial" w:cs="Arial"/>
          <w:i/>
          <w:sz w:val="24"/>
          <w:szCs w:val="24"/>
        </w:rPr>
        <w:t xml:space="preserve"> Previously, the same unidentified armed group fired the residents of </w:t>
      </w:r>
      <w:proofErr w:type="spellStart"/>
      <w:r w:rsidR="00666599" w:rsidRPr="009A2364">
        <w:rPr>
          <w:rFonts w:ascii="Arial" w:hAnsi="Arial" w:cs="Arial"/>
          <w:i/>
          <w:sz w:val="24"/>
          <w:szCs w:val="24"/>
        </w:rPr>
        <w:t>Sitio</w:t>
      </w:r>
      <w:proofErr w:type="spellEnd"/>
      <w:r w:rsidR="00666599" w:rsidRPr="009A23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66599" w:rsidRPr="009A2364">
        <w:rPr>
          <w:rFonts w:ascii="Arial" w:hAnsi="Arial" w:cs="Arial"/>
          <w:i/>
          <w:sz w:val="24"/>
          <w:szCs w:val="24"/>
        </w:rPr>
        <w:t>Kiatong</w:t>
      </w:r>
      <w:proofErr w:type="spellEnd"/>
      <w:r w:rsidR="00666599" w:rsidRPr="009A236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666599" w:rsidRPr="009A2364">
        <w:rPr>
          <w:rFonts w:ascii="Arial" w:hAnsi="Arial" w:cs="Arial"/>
          <w:i/>
          <w:sz w:val="24"/>
          <w:szCs w:val="24"/>
        </w:rPr>
        <w:t>Lebak</w:t>
      </w:r>
      <w:proofErr w:type="spellEnd"/>
      <w:r w:rsidR="00666599" w:rsidRPr="009A2364">
        <w:rPr>
          <w:rFonts w:ascii="Arial" w:hAnsi="Arial" w:cs="Arial"/>
          <w:i/>
          <w:sz w:val="24"/>
          <w:szCs w:val="24"/>
        </w:rPr>
        <w:t xml:space="preserve">, Sultan </w:t>
      </w:r>
      <w:proofErr w:type="spellStart"/>
      <w:r w:rsidR="00666599" w:rsidRPr="009A2364">
        <w:rPr>
          <w:rFonts w:ascii="Arial" w:hAnsi="Arial" w:cs="Arial"/>
          <w:i/>
          <w:sz w:val="24"/>
          <w:szCs w:val="24"/>
        </w:rPr>
        <w:t>Kudarat</w:t>
      </w:r>
      <w:proofErr w:type="spellEnd"/>
      <w:r w:rsidR="00666599" w:rsidRPr="009A2364">
        <w:rPr>
          <w:rFonts w:ascii="Arial" w:hAnsi="Arial" w:cs="Arial"/>
          <w:i/>
          <w:sz w:val="24"/>
          <w:szCs w:val="24"/>
        </w:rPr>
        <w:t xml:space="preserve"> on March 25, 2019.</w:t>
      </w:r>
    </w:p>
    <w:p w14:paraId="2D6ACCC1" w14:textId="77777777" w:rsidR="00CB218A" w:rsidRDefault="00CE0026" w:rsidP="009A236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767EF9">
        <w:rPr>
          <w:rFonts w:ascii="Arial" w:eastAsia="Arial" w:hAnsi="Arial" w:cs="Arial"/>
          <w:i/>
          <w:color w:val="2F5496"/>
          <w:sz w:val="16"/>
          <w:szCs w:val="24"/>
        </w:rPr>
        <w:t>DSWD-FO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14:paraId="753DDFA0" w14:textId="77777777" w:rsidR="00364068" w:rsidRDefault="00364068" w:rsidP="009A236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61B90352" w14:textId="77777777" w:rsidR="00D06BA7" w:rsidRPr="00CE0026" w:rsidRDefault="00D06BA7" w:rsidP="009A2364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11C146EB" w14:textId="77777777" w:rsidR="00172936" w:rsidRPr="00D06BA7" w:rsidRDefault="00172936" w:rsidP="009A2364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ECA6EF3" w14:textId="6FA916D9" w:rsidR="00172936" w:rsidRPr="007463AD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>835</w:t>
      </w:r>
      <w:r w:rsidR="007D3BCE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4,175 </w:t>
      </w:r>
      <w:r w:rsidR="00172936" w:rsidRPr="007463A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7463A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>Sitio</w:t>
      </w:r>
      <w:proofErr w:type="spellEnd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>Tapudi</w:t>
      </w:r>
      <w:proofErr w:type="spellEnd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and </w:t>
      </w:r>
      <w:proofErr w:type="spellStart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>Purok</w:t>
      </w:r>
      <w:proofErr w:type="spellEnd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>Niyog</w:t>
      </w:r>
      <w:proofErr w:type="spellEnd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>Lebak</w:t>
      </w:r>
      <w:proofErr w:type="spellEnd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, Sultan </w:t>
      </w:r>
      <w:proofErr w:type="spellStart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>Kudarat</w:t>
      </w:r>
      <w:proofErr w:type="spellEnd"/>
      <w:r w:rsidR="002F6424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770F485A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578A00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6" w:type="pct"/>
        <w:tblInd w:w="355" w:type="dxa"/>
        <w:tblLook w:val="04A0" w:firstRow="1" w:lastRow="0" w:firstColumn="1" w:lastColumn="0" w:noHBand="0" w:noVBand="1"/>
      </w:tblPr>
      <w:tblGrid>
        <w:gridCol w:w="417"/>
        <w:gridCol w:w="4260"/>
        <w:gridCol w:w="1656"/>
        <w:gridCol w:w="1354"/>
        <w:gridCol w:w="1352"/>
        <w:gridCol w:w="236"/>
      </w:tblGrid>
      <w:tr w:rsidR="0065622C" w:rsidRPr="0065622C" w14:paraId="709981A4" w14:textId="77777777" w:rsidTr="002F6424">
        <w:trPr>
          <w:gridAfter w:val="1"/>
          <w:wAfter w:w="133" w:type="pct"/>
          <w:trHeight w:val="509"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404FD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43C99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2F6424" w:rsidRPr="0065622C" w14:paraId="7B9C0C9C" w14:textId="77777777" w:rsidTr="002F6424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F5DF9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FACB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F59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4AB88AE0" w14:textId="77777777" w:rsidTr="002F6424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B05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26A4A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872501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39A1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Persons </w:t>
            </w:r>
          </w:p>
        </w:tc>
        <w:tc>
          <w:tcPr>
            <w:tcW w:w="133" w:type="pct"/>
            <w:vAlign w:val="center"/>
            <w:hideMark/>
          </w:tcPr>
          <w:p w14:paraId="555C230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F6424" w:rsidRPr="0065622C" w14:paraId="129EA0AB" w14:textId="77777777" w:rsidTr="002F6424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8A3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4DD3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7C6F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6D91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2D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129C4B93" w14:textId="77777777" w:rsidTr="002F6424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F1144A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3FEC6" w14:textId="7ABB0EF9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71E2FC" w14:textId="37F0270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DD222" w14:textId="7BD42230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33" w:type="pct"/>
            <w:vAlign w:val="center"/>
            <w:hideMark/>
          </w:tcPr>
          <w:p w14:paraId="3A13547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7E6E1782" w14:textId="77777777" w:rsidTr="002F6424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C00E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C3242" w14:textId="283487E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0BD41" w14:textId="7236254C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9580E" w14:textId="4CA882AE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33" w:type="pct"/>
            <w:vAlign w:val="center"/>
            <w:hideMark/>
          </w:tcPr>
          <w:p w14:paraId="1053EB14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7B1E9AFE" w14:textId="77777777" w:rsidTr="002F6424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8CDBC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Sultan </w:t>
            </w:r>
            <w:proofErr w:type="spellStart"/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Kudarat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99AB5" w14:textId="6A66700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103CB" w14:textId="358A737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B6E44" w14:textId="30A082E6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33" w:type="pct"/>
            <w:vAlign w:val="center"/>
            <w:hideMark/>
          </w:tcPr>
          <w:p w14:paraId="558219A4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7311F9C5" w14:textId="77777777" w:rsidTr="002F6424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EA1F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9E2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Lebak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E1F0" w14:textId="282A961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99DD" w14:textId="681DB57E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9FC8" w14:textId="16791226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4,175 </w:t>
            </w:r>
          </w:p>
        </w:tc>
        <w:tc>
          <w:tcPr>
            <w:tcW w:w="133" w:type="pct"/>
            <w:vAlign w:val="center"/>
            <w:hideMark/>
          </w:tcPr>
          <w:p w14:paraId="4133961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598E760E" w14:textId="7D5E29C7" w:rsidR="00767EF9" w:rsidRPr="00767EF9" w:rsidRDefault="00151B87" w:rsidP="00151B87">
      <w:pPr>
        <w:spacing w:after="0" w:line="240" w:lineRule="auto"/>
        <w:ind w:left="7200"/>
        <w:contextualSpacing/>
        <w:jc w:val="center"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       </w:t>
      </w:r>
      <w:r w:rsidR="00D11E6C"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D11E6C" w:rsidRPr="007D3BCE">
        <w:rPr>
          <w:rFonts w:ascii="Arial" w:eastAsia="Arial" w:hAnsi="Arial" w:cs="Arial"/>
          <w:i/>
          <w:color w:val="2F5496"/>
          <w:sz w:val="16"/>
          <w:szCs w:val="24"/>
        </w:rPr>
        <w:t>DSWD-</w:t>
      </w:r>
      <w:r w:rsidR="00767EF9">
        <w:rPr>
          <w:rFonts w:ascii="Arial" w:eastAsia="Arial" w:hAnsi="Arial" w:cs="Arial"/>
          <w:i/>
          <w:color w:val="2F5496"/>
          <w:sz w:val="16"/>
          <w:szCs w:val="24"/>
        </w:rPr>
        <w:t>FO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14:paraId="4953E65B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2B900C9" w14:textId="6546002C" w:rsidR="00CE0026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</w:p>
    <w:p w14:paraId="49818A79" w14:textId="422CC0D0" w:rsidR="007463AD" w:rsidRDefault="007463AD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55A032" w14:textId="5A259644" w:rsidR="007463AD" w:rsidRPr="007463AD" w:rsidRDefault="00AE0DE3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The </w:t>
      </w:r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835 families </w:t>
      </w:r>
      <w:r w:rsidR="007463AD" w:rsidRPr="007463A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4,175 persons </w:t>
      </w:r>
      <w:r w:rsidR="007463AD" w:rsidRPr="007463AD">
        <w:rPr>
          <w:rFonts w:ascii="Arial" w:eastAsia="Arial" w:hAnsi="Arial" w:cs="Arial"/>
          <w:color w:val="auto"/>
          <w:sz w:val="24"/>
          <w:szCs w:val="24"/>
        </w:rPr>
        <w:t xml:space="preserve">who </w:t>
      </w:r>
      <w:r>
        <w:rPr>
          <w:rFonts w:ascii="Arial" w:eastAsia="Arial" w:hAnsi="Arial" w:cs="Arial"/>
          <w:color w:val="auto"/>
          <w:sz w:val="24"/>
          <w:szCs w:val="24"/>
        </w:rPr>
        <w:t>took</w:t>
      </w:r>
      <w:r w:rsidR="007463AD" w:rsidRPr="007463AD">
        <w:rPr>
          <w:rFonts w:ascii="Arial" w:eastAsia="Arial" w:hAnsi="Arial" w:cs="Arial"/>
          <w:color w:val="auto"/>
          <w:sz w:val="24"/>
          <w:szCs w:val="24"/>
        </w:rPr>
        <w:t xml:space="preserve"> temporary shelter at </w:t>
      </w:r>
      <w:proofErr w:type="spellStart"/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>Tapudi</w:t>
      </w:r>
      <w:proofErr w:type="spellEnd"/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Integrated School </w:t>
      </w:r>
      <w:r w:rsidR="007463AD" w:rsidRPr="007463AD">
        <w:rPr>
          <w:rFonts w:ascii="Arial" w:eastAsia="Arial" w:hAnsi="Arial" w:cs="Arial"/>
          <w:color w:val="auto"/>
          <w:sz w:val="24"/>
          <w:szCs w:val="24"/>
        </w:rPr>
        <w:t>in</w:t>
      </w:r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>Lebak</w:t>
      </w:r>
      <w:proofErr w:type="spellEnd"/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, Sultan </w:t>
      </w:r>
      <w:proofErr w:type="spellStart"/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>Kudarat</w:t>
      </w:r>
      <w:proofErr w:type="spellEnd"/>
      <w:r w:rsidR="007463AD"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0DE3">
        <w:rPr>
          <w:rFonts w:ascii="Arial" w:eastAsia="Arial" w:hAnsi="Arial" w:cs="Arial"/>
          <w:color w:val="auto"/>
          <w:sz w:val="24"/>
          <w:szCs w:val="24"/>
        </w:rPr>
        <w:t xml:space="preserve">have now returned </w:t>
      </w:r>
      <w:proofErr w:type="gramStart"/>
      <w:r w:rsidRPr="00AE0DE3">
        <w:rPr>
          <w:rFonts w:ascii="Arial" w:eastAsia="Arial" w:hAnsi="Arial" w:cs="Arial"/>
          <w:color w:val="auto"/>
          <w:sz w:val="24"/>
          <w:szCs w:val="24"/>
        </w:rPr>
        <w:t>home</w:t>
      </w:r>
      <w:r w:rsidR="007463AD" w:rsidRPr="007463AD">
        <w:rPr>
          <w:rFonts w:ascii="Arial" w:eastAsia="Arial" w:hAnsi="Arial" w:cs="Arial"/>
          <w:color w:val="auto"/>
          <w:sz w:val="24"/>
          <w:szCs w:val="24"/>
        </w:rPr>
        <w:t>(</w:t>
      </w:r>
      <w:proofErr w:type="gramEnd"/>
      <w:r w:rsidR="007463AD" w:rsidRPr="007463AD">
        <w:rPr>
          <w:rFonts w:ascii="Arial" w:eastAsia="Arial" w:hAnsi="Arial" w:cs="Arial"/>
          <w:color w:val="auto"/>
          <w:sz w:val="24"/>
          <w:szCs w:val="24"/>
        </w:rPr>
        <w:t xml:space="preserve">see Table 2). </w:t>
      </w:r>
    </w:p>
    <w:p w14:paraId="6DEF6412" w14:textId="77777777" w:rsidR="007463AD" w:rsidRPr="007D3BCE" w:rsidRDefault="007463AD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DEF270" w14:textId="77777777" w:rsidR="007463AD" w:rsidRPr="00D06BA7" w:rsidRDefault="007463AD" w:rsidP="00746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 of Displaced Families / Persons Inside Evacuation Centers</w:t>
      </w:r>
    </w:p>
    <w:tbl>
      <w:tblPr>
        <w:tblW w:w="4816" w:type="pct"/>
        <w:tblInd w:w="355" w:type="dxa"/>
        <w:tblLook w:val="04A0" w:firstRow="1" w:lastRow="0" w:firstColumn="1" w:lastColumn="0" w:noHBand="0" w:noVBand="1"/>
      </w:tblPr>
      <w:tblGrid>
        <w:gridCol w:w="448"/>
        <w:gridCol w:w="3375"/>
        <w:gridCol w:w="860"/>
        <w:gridCol w:w="974"/>
        <w:gridCol w:w="824"/>
        <w:gridCol w:w="850"/>
        <w:gridCol w:w="861"/>
        <w:gridCol w:w="861"/>
        <w:gridCol w:w="222"/>
      </w:tblGrid>
      <w:tr w:rsidR="007463AD" w:rsidRPr="0065622C" w14:paraId="17A10490" w14:textId="77777777" w:rsidTr="0053124F">
        <w:trPr>
          <w:gridAfter w:val="1"/>
          <w:wAfter w:w="120" w:type="pct"/>
          <w:trHeight w:val="509"/>
        </w:trPr>
        <w:tc>
          <w:tcPr>
            <w:tcW w:w="20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077BBE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2305B0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83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DE682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7463AD" w:rsidRPr="0065622C" w14:paraId="02700989" w14:textId="77777777" w:rsidTr="0053124F">
        <w:trPr>
          <w:trHeight w:val="20"/>
        </w:trPr>
        <w:tc>
          <w:tcPr>
            <w:tcW w:w="2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BB31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0716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3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D15A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500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463AD" w:rsidRPr="002F6424" w14:paraId="291221D0" w14:textId="77777777" w:rsidTr="0053124F">
        <w:trPr>
          <w:trHeight w:val="20"/>
        </w:trPr>
        <w:tc>
          <w:tcPr>
            <w:tcW w:w="2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79A7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CDF1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AE71F7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56DB49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Persons </w:t>
            </w:r>
          </w:p>
        </w:tc>
        <w:tc>
          <w:tcPr>
            <w:tcW w:w="120" w:type="pct"/>
            <w:vAlign w:val="center"/>
            <w:hideMark/>
          </w:tcPr>
          <w:p w14:paraId="32274F18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463AD" w:rsidRPr="002F6424" w14:paraId="20BEA3BB" w14:textId="77777777" w:rsidTr="0053124F">
        <w:trPr>
          <w:trHeight w:val="20"/>
        </w:trPr>
        <w:tc>
          <w:tcPr>
            <w:tcW w:w="2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F717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BEEE9E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D50541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3770FF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F6AD11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5A5B7C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749CFB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120" w:type="pct"/>
            <w:vAlign w:val="center"/>
            <w:hideMark/>
          </w:tcPr>
          <w:p w14:paraId="2FB72978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463AD" w:rsidRPr="002F6424" w14:paraId="625EF47A" w14:textId="77777777" w:rsidTr="0053124F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9C0D2E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B28C28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B7AA54" w14:textId="729F162F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E4384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40E11D" w14:textId="5725CC8A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  <w:r w:rsidR="007463AD"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08FE48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00DF7" w14:textId="69E801E5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  <w:r w:rsidR="007463AD"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0" w:type="pct"/>
            <w:vAlign w:val="center"/>
            <w:hideMark/>
          </w:tcPr>
          <w:p w14:paraId="5EF46F4E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463AD" w:rsidRPr="002F6424" w14:paraId="49DDB668" w14:textId="77777777" w:rsidTr="0053124F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D5D0CC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81233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F248A" w14:textId="386781FD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499F45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FEB70" w14:textId="71D33F4F" w:rsidR="007463AD" w:rsidRPr="0065622C" w:rsidRDefault="007463AD" w:rsidP="00AE0D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AE0D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A80B92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09863" w14:textId="0F5DA039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  <w:r w:rsidR="007463AD"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0" w:type="pct"/>
            <w:vAlign w:val="center"/>
            <w:hideMark/>
          </w:tcPr>
          <w:p w14:paraId="4D72D838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463AD" w:rsidRPr="002F6424" w14:paraId="40B0E741" w14:textId="77777777" w:rsidTr="0053124F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B9A5B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Sultan </w:t>
            </w:r>
            <w:proofErr w:type="spellStart"/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Kudarat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D8873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87320" w14:textId="44890E8B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57A2C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EB3D" w14:textId="76B53C48" w:rsidR="007463AD" w:rsidRPr="0065622C" w:rsidRDefault="007463AD" w:rsidP="00AE0D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AE0D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94360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A86E6" w14:textId="75686FCB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  <w:r w:rsidR="007463AD"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0" w:type="pct"/>
            <w:vAlign w:val="center"/>
            <w:hideMark/>
          </w:tcPr>
          <w:p w14:paraId="32E61B45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463AD" w:rsidRPr="002F6424" w14:paraId="4FFB05AD" w14:textId="77777777" w:rsidTr="0053124F">
        <w:trPr>
          <w:trHeight w:val="20"/>
        </w:trPr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8380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AC01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Lebak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686B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CAB4" w14:textId="0DD1242F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  <w:r w:rsidR="007463AD"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42B8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835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52D3" w14:textId="166D326A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  <w:r w:rsidR="007463AD"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5B84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C253" w14:textId="0A95CABE" w:rsidR="007463AD" w:rsidRPr="0065622C" w:rsidRDefault="00AE0DE3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-</w:t>
            </w:r>
            <w:r w:rsidR="007463AD"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0" w:type="pct"/>
            <w:vAlign w:val="center"/>
            <w:hideMark/>
          </w:tcPr>
          <w:p w14:paraId="693FCF27" w14:textId="77777777" w:rsidR="007463AD" w:rsidRPr="0065622C" w:rsidRDefault="007463AD" w:rsidP="005312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134F2DC7" w14:textId="1DDA452C" w:rsidR="007463AD" w:rsidRDefault="00151B87" w:rsidP="00151B87">
      <w:pPr>
        <w:spacing w:after="0" w:line="240" w:lineRule="auto"/>
        <w:ind w:left="7200"/>
        <w:contextualSpacing/>
        <w:jc w:val="center"/>
        <w:rPr>
          <w:rFonts w:ascii="Arial" w:eastAsia="Arial" w:hAnsi="Arial" w:cs="Arial"/>
          <w:i/>
          <w:sz w:val="16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      </w:t>
      </w:r>
      <w:r w:rsidR="007463AD"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463AD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7463AD" w:rsidRPr="007D3BCE">
        <w:rPr>
          <w:rFonts w:ascii="Arial" w:eastAsia="Arial" w:hAnsi="Arial" w:cs="Arial"/>
          <w:i/>
          <w:color w:val="2F5496"/>
          <w:sz w:val="16"/>
          <w:szCs w:val="24"/>
        </w:rPr>
        <w:t>DSWD-</w:t>
      </w:r>
      <w:r w:rsidR="007463AD">
        <w:rPr>
          <w:rFonts w:ascii="Arial" w:eastAsia="Arial" w:hAnsi="Arial" w:cs="Arial"/>
          <w:i/>
          <w:color w:val="2F5496"/>
          <w:sz w:val="16"/>
          <w:szCs w:val="24"/>
        </w:rPr>
        <w:t>FO XII</w:t>
      </w:r>
    </w:p>
    <w:p w14:paraId="49EDC40D" w14:textId="61BA5CDE" w:rsidR="007463AD" w:rsidRDefault="007463AD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589AE14" w14:textId="21377BE4" w:rsidR="007463AD" w:rsidRDefault="007463AD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83CCA2" w14:textId="42496F93" w:rsidR="007463AD" w:rsidRDefault="007463AD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4A2795" w14:textId="1311210D" w:rsidR="00151B87" w:rsidRDefault="00151B87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2DB46F" w14:textId="422A5E4D" w:rsidR="00151B87" w:rsidRDefault="00151B87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14:paraId="6E709593" w14:textId="75F8B95F" w:rsidR="00151B87" w:rsidRDefault="00151B87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EC6952" w14:textId="1D1788BF" w:rsidR="00151B87" w:rsidRDefault="00151B87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E5BED6" w14:textId="77777777" w:rsidR="00151B87" w:rsidRDefault="00151B87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74F1CD" w14:textId="491E5578" w:rsidR="007463AD" w:rsidRDefault="000E1FCA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D9669F4" w14:textId="057F7A38" w:rsidR="007463AD" w:rsidRPr="00567DE7" w:rsidRDefault="007463AD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CC510B4" w14:textId="383247D7" w:rsidR="000E1FCA" w:rsidRPr="00567DE7" w:rsidRDefault="000E1FCA" w:rsidP="000E1FCA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</w:rPr>
      </w:pPr>
      <w:r w:rsidRPr="00567DE7">
        <w:rPr>
          <w:rFonts w:ascii="Arial" w:hAnsi="Arial" w:cs="Arial"/>
          <w:bCs/>
          <w:color w:val="auto"/>
          <w:sz w:val="24"/>
        </w:rPr>
        <w:t xml:space="preserve">A total of </w:t>
      </w:r>
      <w:r w:rsidRPr="00567DE7">
        <w:rPr>
          <w:rFonts w:ascii="Arial" w:hAnsi="Arial" w:cs="Arial"/>
          <w:b/>
          <w:bCs/>
          <w:color w:val="auto"/>
          <w:sz w:val="24"/>
        </w:rPr>
        <w:t>₱</w:t>
      </w:r>
      <w:r w:rsidR="00C231EE" w:rsidRPr="00567DE7">
        <w:rPr>
          <w:rFonts w:ascii="Arial" w:hAnsi="Arial" w:cs="Arial"/>
          <w:b/>
          <w:bCs/>
          <w:color w:val="auto"/>
          <w:sz w:val="24"/>
        </w:rPr>
        <w:t>604,350.00</w:t>
      </w:r>
      <w:r w:rsidRPr="00567DE7">
        <w:rPr>
          <w:rFonts w:ascii="Arial" w:hAnsi="Arial" w:cs="Arial"/>
          <w:b/>
          <w:bCs/>
          <w:color w:val="auto"/>
          <w:sz w:val="24"/>
        </w:rPr>
        <w:t xml:space="preserve"> </w:t>
      </w:r>
      <w:r w:rsidRPr="00567DE7">
        <w:rPr>
          <w:rFonts w:ascii="Arial" w:hAnsi="Arial" w:cs="Arial"/>
          <w:bCs/>
          <w:color w:val="auto"/>
          <w:sz w:val="24"/>
        </w:rPr>
        <w:t>worth of assistance was provided by</w:t>
      </w:r>
      <w:r w:rsidRPr="00567DE7">
        <w:rPr>
          <w:rFonts w:ascii="Arial" w:hAnsi="Arial" w:cs="Arial"/>
          <w:b/>
          <w:bCs/>
          <w:color w:val="auto"/>
          <w:sz w:val="24"/>
        </w:rPr>
        <w:t xml:space="preserve"> DSWD </w:t>
      </w:r>
      <w:r w:rsidRPr="00567DE7">
        <w:rPr>
          <w:rFonts w:ascii="Arial" w:hAnsi="Arial" w:cs="Arial"/>
          <w:bCs/>
          <w:color w:val="auto"/>
          <w:sz w:val="24"/>
        </w:rPr>
        <w:t>to the affected</w:t>
      </w:r>
      <w:r w:rsidRPr="00567DE7">
        <w:rPr>
          <w:rFonts w:ascii="Arial" w:hAnsi="Arial" w:cs="Arial"/>
          <w:b/>
          <w:bCs/>
          <w:color w:val="auto"/>
          <w:sz w:val="24"/>
        </w:rPr>
        <w:t xml:space="preserve"> </w:t>
      </w:r>
      <w:r w:rsidRPr="00567DE7">
        <w:rPr>
          <w:rFonts w:ascii="Arial" w:hAnsi="Arial" w:cs="Arial"/>
          <w:bCs/>
          <w:color w:val="auto"/>
          <w:sz w:val="24"/>
        </w:rPr>
        <w:t xml:space="preserve">families </w:t>
      </w:r>
      <w:r w:rsidR="00A71D27" w:rsidRPr="00567DE7">
        <w:rPr>
          <w:rFonts w:ascii="Arial" w:hAnsi="Arial" w:cs="Arial"/>
          <w:color w:val="auto"/>
          <w:sz w:val="24"/>
        </w:rPr>
        <w:t>(see Table 3</w:t>
      </w:r>
      <w:r w:rsidRPr="00567DE7">
        <w:rPr>
          <w:rFonts w:ascii="Arial" w:hAnsi="Arial" w:cs="Arial"/>
          <w:color w:val="auto"/>
          <w:sz w:val="24"/>
        </w:rPr>
        <w:t>).</w:t>
      </w:r>
    </w:p>
    <w:p w14:paraId="3F1E9D20" w14:textId="77777777" w:rsidR="000E1FCA" w:rsidRDefault="000E1FCA" w:rsidP="000E1FCA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7E9A9C" w14:textId="5D455FFC" w:rsidR="000E1FCA" w:rsidRPr="00DC7BB2" w:rsidRDefault="00A71D27" w:rsidP="000E1FC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Table 3</w:t>
      </w:r>
      <w:r w:rsidR="000E1FCA" w:rsidRPr="000E28B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0E1FCA">
        <w:rPr>
          <w:rFonts w:ascii="Arial" w:hAnsi="Arial" w:cs="Arial"/>
          <w:b/>
          <w:bCs/>
          <w:i/>
          <w:iCs/>
          <w:sz w:val="20"/>
          <w:szCs w:val="20"/>
        </w:rPr>
        <w:t>Cost of Assistance Provided to the Affected Families / Persons</w:t>
      </w:r>
    </w:p>
    <w:tbl>
      <w:tblPr>
        <w:tblW w:w="480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799"/>
        <w:gridCol w:w="1140"/>
        <w:gridCol w:w="1124"/>
        <w:gridCol w:w="1099"/>
        <w:gridCol w:w="981"/>
        <w:gridCol w:w="1686"/>
      </w:tblGrid>
      <w:tr w:rsidR="000E1FCA" w:rsidRPr="00F64194" w14:paraId="2B099631" w14:textId="77777777" w:rsidTr="00C231EE">
        <w:trPr>
          <w:trHeight w:val="50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FE1F2C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FEC648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E1FCA" w:rsidRPr="00F64194" w14:paraId="17B4AC05" w14:textId="77777777" w:rsidTr="00C231EE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AE11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C99AF7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4AD8F0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71358C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2004D8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682CD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231EE" w:rsidRPr="00F64194" w14:paraId="2F6D7E1D" w14:textId="77777777" w:rsidTr="00C231EE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38027A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3C0CF" w14:textId="7D0ACBE9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604,350.00</w:t>
            </w: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C8B1C6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8B3F9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FD3664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101C797E" w14:textId="6C4DB4F4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604,350.00 </w:t>
            </w:r>
          </w:p>
        </w:tc>
      </w:tr>
      <w:tr w:rsidR="00C231EE" w:rsidRPr="00F64194" w14:paraId="6BAAD71C" w14:textId="77777777" w:rsidTr="00C231EE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BDFE0" w14:textId="7A02310F" w:rsidR="00C231EE" w:rsidRPr="00F64194" w:rsidRDefault="00C231EE" w:rsidP="00C231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 XII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856D7" w14:textId="066EBF02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604,350.00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C82E01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9A32C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59B6A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DF7EF79" w14:textId="063C04D9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604,350.00 </w:t>
            </w:r>
          </w:p>
        </w:tc>
      </w:tr>
      <w:tr w:rsidR="00C231EE" w:rsidRPr="00F64194" w14:paraId="4AFC1541" w14:textId="77777777" w:rsidTr="00C231EE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B4B6E" w14:textId="3AC22AC7" w:rsidR="00C231EE" w:rsidRPr="00F64194" w:rsidRDefault="00C231EE" w:rsidP="00C231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Sultan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970FD" w14:textId="3F699518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604,350.00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4BF6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F0317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68AAF" w14:textId="7777777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hideMark/>
          </w:tcPr>
          <w:p w14:paraId="5C2322D4" w14:textId="5E654157" w:rsidR="00C231EE" w:rsidRPr="00F64194" w:rsidRDefault="00C231EE" w:rsidP="00C231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604,350.00 </w:t>
            </w:r>
          </w:p>
        </w:tc>
      </w:tr>
      <w:tr w:rsidR="000E1FCA" w:rsidRPr="00F64194" w14:paraId="1B35464C" w14:textId="77777777" w:rsidTr="00C231EE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781D1" w14:textId="77777777" w:rsidR="000E1FCA" w:rsidRPr="00F64194" w:rsidRDefault="000E1FCA" w:rsidP="000E1FCA">
            <w:pPr>
              <w:spacing w:after="0" w:line="240" w:lineRule="auto"/>
              <w:ind w:right="75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C35D" w14:textId="1A14DF9D" w:rsidR="000E1FCA" w:rsidRPr="00F64194" w:rsidRDefault="00C231EE" w:rsidP="000E1FCA">
            <w:pPr>
              <w:pBdr>
                <w:bar w:val="single" w:sz="4" w:color="auto"/>
              </w:pBdr>
              <w:spacing w:after="0" w:line="240" w:lineRule="auto"/>
              <w:ind w:right="75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Lebak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96E2" w14:textId="71C195E1" w:rsidR="000E1FCA" w:rsidRPr="00C231EE" w:rsidRDefault="00C231EE" w:rsidP="005312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231EE">
              <w:rPr>
                <w:rFonts w:ascii="Arial" w:hAnsi="Arial" w:cs="Arial"/>
                <w:bCs/>
                <w:i/>
                <w:sz w:val="20"/>
                <w:szCs w:val="20"/>
              </w:rPr>
              <w:t>604,350.00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3C9C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04B7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A45D" w14:textId="77777777" w:rsidR="000E1FCA" w:rsidRPr="00F64194" w:rsidRDefault="000E1FCA" w:rsidP="005312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735C" w14:textId="07E85161" w:rsidR="000E1FCA" w:rsidRPr="00F64194" w:rsidRDefault="00C231EE" w:rsidP="005312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1EE">
              <w:rPr>
                <w:rFonts w:ascii="Arial" w:hAnsi="Arial" w:cs="Arial"/>
                <w:bCs/>
                <w:i/>
                <w:sz w:val="20"/>
                <w:szCs w:val="20"/>
              </w:rPr>
              <w:t>604,350.00</w:t>
            </w:r>
          </w:p>
        </w:tc>
      </w:tr>
    </w:tbl>
    <w:p w14:paraId="1E92C2CA" w14:textId="0F10481B" w:rsidR="000E1FCA" w:rsidRDefault="00727DF9" w:rsidP="00727DF9">
      <w:pPr>
        <w:spacing w:after="0" w:line="240" w:lineRule="auto"/>
        <w:ind w:left="7200" w:firstLine="720"/>
        <w:contextualSpacing/>
        <w:rPr>
          <w:rFonts w:ascii="Arial" w:eastAsia="Arial" w:hAnsi="Arial" w:cs="Arial"/>
          <w:i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0E1FCA"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0E1FCA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0E1FCA" w:rsidRPr="007D3BCE">
        <w:rPr>
          <w:rFonts w:ascii="Arial" w:eastAsia="Arial" w:hAnsi="Arial" w:cs="Arial"/>
          <w:i/>
          <w:color w:val="2F5496"/>
          <w:sz w:val="16"/>
          <w:szCs w:val="24"/>
        </w:rPr>
        <w:t>DSWD-</w:t>
      </w:r>
      <w:r w:rsidR="000E1FCA">
        <w:rPr>
          <w:rFonts w:ascii="Arial" w:eastAsia="Arial" w:hAnsi="Arial" w:cs="Arial"/>
          <w:i/>
          <w:color w:val="2F5496"/>
          <w:sz w:val="16"/>
          <w:szCs w:val="24"/>
        </w:rPr>
        <w:t>FO XII</w:t>
      </w:r>
    </w:p>
    <w:p w14:paraId="78893079" w14:textId="120C7CBA" w:rsidR="001F41BE" w:rsidRPr="001F41BE" w:rsidRDefault="001F41BE" w:rsidP="001F41BE">
      <w:pPr>
        <w:spacing w:after="0" w:line="240" w:lineRule="auto"/>
        <w:contextualSpacing/>
      </w:pPr>
    </w:p>
    <w:p w14:paraId="42159528" w14:textId="77777777" w:rsidR="00D11E6C" w:rsidRPr="007D3BCE" w:rsidRDefault="00D11E6C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3796877E" w14:textId="0FAE59C4" w:rsidR="00FF7689" w:rsidRPr="00B37DA0" w:rsidRDefault="007D3BCE" w:rsidP="00B37DA0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45D3880E" w14:textId="1AA4E0A7" w:rsidR="00D258EC" w:rsidRPr="00CE0026" w:rsidRDefault="00D258EC" w:rsidP="00D258EC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t>DSWD-</w:t>
      </w:r>
      <w:r>
        <w:rPr>
          <w:rFonts w:ascii="Arial" w:eastAsia="Arial" w:hAnsi="Arial" w:cs="Arial"/>
          <w:b/>
          <w:color w:val="222222"/>
          <w:sz w:val="24"/>
          <w:szCs w:val="24"/>
        </w:rPr>
        <w:t>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258EC" w:rsidRPr="007D3BCE" w14:paraId="076E9AC8" w14:textId="77777777" w:rsidTr="0053124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6ACF" w14:textId="77777777" w:rsidR="00D258EC" w:rsidRPr="007D3BCE" w:rsidRDefault="00D258EC" w:rsidP="005312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6C5B" w14:textId="77777777" w:rsidR="00D258EC" w:rsidRPr="007D3BCE" w:rsidRDefault="00D258EC" w:rsidP="0053124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58EC" w:rsidRPr="007D3BCE" w14:paraId="7B869694" w14:textId="77777777" w:rsidTr="0053124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9537" w14:textId="4309DD7E" w:rsidR="00D258EC" w:rsidRPr="00780980" w:rsidRDefault="00151B87" w:rsidP="0053124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June</w:t>
            </w:r>
            <w:r w:rsidR="00D258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F216" w14:textId="029015C1" w:rsidR="00D258EC" w:rsidRDefault="00D258EC" w:rsidP="0053124F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XII released 835 Family Food Packs, 835 Plastic Mats and 10 Rolls of Laminated Sacks to the Local Government Unit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Lebak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314D3F6A" w14:textId="20CE86A6" w:rsidR="00D258EC" w:rsidRPr="00780980" w:rsidRDefault="00D258EC" w:rsidP="00B37DA0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B37DA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B37DA0" w:rsidRPr="00B37DA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B37DA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51FA59D8" w14:textId="378F4BC5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14:paraId="0C559062" w14:textId="77777777" w:rsidR="00D12D94" w:rsidRDefault="00D12D94" w:rsidP="001F41B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4990BC12" w14:textId="77777777" w:rsidR="00767EF9" w:rsidRPr="00E06242" w:rsidRDefault="00767EF9" w:rsidP="001F41B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</w:p>
    <w:p w14:paraId="508BC86B" w14:textId="77777777"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14:paraId="1D948E75" w14:textId="77777777"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729F352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F68824E" w14:textId="77777777" w:rsid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775BCB4A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792D7BD" w14:textId="672EEB92" w:rsidR="005630AC" w:rsidRPr="005630AC" w:rsidRDefault="007463AD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JOANNA CAMILLE R. JACINTO</w:t>
      </w:r>
    </w:p>
    <w:p w14:paraId="776B18E4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2A6DB9C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643E862" w14:textId="77777777"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5BA2344" w14:textId="77777777" w:rsidR="002F58F9" w:rsidRDefault="002F58F9" w:rsidP="002F58F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DE2E6AE" w14:textId="77777777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5E631" w14:textId="77777777" w:rsidR="003E03B6" w:rsidRDefault="003E03B6">
      <w:pPr>
        <w:spacing w:after="0" w:line="240" w:lineRule="auto"/>
      </w:pPr>
      <w:r>
        <w:separator/>
      </w:r>
    </w:p>
  </w:endnote>
  <w:endnote w:type="continuationSeparator" w:id="0">
    <w:p w14:paraId="4FD8DCD4" w14:textId="77777777" w:rsidR="003E03B6" w:rsidRDefault="003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0724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4155AE45" w14:textId="39857885" w:rsidR="00192CDE" w:rsidRPr="00D12D94" w:rsidRDefault="00192CDE" w:rsidP="002F642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182F71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182F71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2F6424" w:rsidRPr="002F6424">
      <w:rPr>
        <w:rFonts w:ascii="Arial" w:eastAsia="Arial" w:hAnsi="Arial" w:cs="Arial"/>
        <w:sz w:val="14"/>
        <w:szCs w:val="16"/>
      </w:rPr>
      <w:t xml:space="preserve">DSWD DROMIC </w:t>
    </w:r>
    <w:r w:rsidR="00182F71">
      <w:rPr>
        <w:rFonts w:ascii="Arial" w:eastAsia="Arial" w:hAnsi="Arial" w:cs="Arial"/>
        <w:sz w:val="14"/>
        <w:szCs w:val="16"/>
      </w:rPr>
      <w:t>Terminal</w:t>
    </w:r>
    <w:r w:rsidR="002F6424" w:rsidRPr="002F6424">
      <w:rPr>
        <w:rFonts w:ascii="Arial" w:eastAsia="Arial" w:hAnsi="Arial" w:cs="Arial"/>
        <w:sz w:val="14"/>
        <w:szCs w:val="16"/>
      </w:rPr>
      <w:t xml:space="preserve"> on the Social Disorganization in </w:t>
    </w:r>
    <w:proofErr w:type="spellStart"/>
    <w:r w:rsidR="002F6424" w:rsidRPr="002F6424">
      <w:rPr>
        <w:rFonts w:ascii="Arial" w:eastAsia="Arial" w:hAnsi="Arial" w:cs="Arial"/>
        <w:sz w:val="14"/>
        <w:szCs w:val="16"/>
      </w:rPr>
      <w:t>Lebak</w:t>
    </w:r>
    <w:proofErr w:type="spellEnd"/>
    <w:r w:rsidR="002F6424" w:rsidRPr="002F6424">
      <w:rPr>
        <w:rFonts w:ascii="Arial" w:eastAsia="Arial" w:hAnsi="Arial" w:cs="Arial"/>
        <w:sz w:val="14"/>
        <w:szCs w:val="16"/>
      </w:rPr>
      <w:t xml:space="preserve">, Sultan </w:t>
    </w:r>
    <w:proofErr w:type="spellStart"/>
    <w:r w:rsidR="002F6424" w:rsidRPr="002F6424">
      <w:rPr>
        <w:rFonts w:ascii="Arial" w:eastAsia="Arial" w:hAnsi="Arial" w:cs="Arial"/>
        <w:sz w:val="14"/>
        <w:szCs w:val="16"/>
      </w:rPr>
      <w:t>Kudarat</w:t>
    </w:r>
    <w:proofErr w:type="spellEnd"/>
    <w:r w:rsidR="002F6424">
      <w:rPr>
        <w:rFonts w:ascii="Arial" w:eastAsia="Arial" w:hAnsi="Arial" w:cs="Arial"/>
        <w:sz w:val="14"/>
        <w:szCs w:val="16"/>
      </w:rPr>
      <w:t xml:space="preserve"> </w:t>
    </w:r>
    <w:r w:rsidR="00182F71">
      <w:rPr>
        <w:rFonts w:ascii="Arial" w:eastAsia="Arial" w:hAnsi="Arial" w:cs="Arial"/>
        <w:sz w:val="14"/>
        <w:szCs w:val="16"/>
      </w:rPr>
      <w:t>29 June 2020, 4</w:t>
    </w:r>
    <w:r w:rsidR="002F6424" w:rsidRPr="002F642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D197" w14:textId="77777777" w:rsidR="003E03B6" w:rsidRDefault="003E03B6">
      <w:pPr>
        <w:spacing w:after="0" w:line="240" w:lineRule="auto"/>
      </w:pPr>
      <w:r>
        <w:separator/>
      </w:r>
    </w:p>
  </w:footnote>
  <w:footnote w:type="continuationSeparator" w:id="0">
    <w:p w14:paraId="3373985B" w14:textId="77777777" w:rsidR="003E03B6" w:rsidRDefault="003E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5AF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B2A5E" wp14:editId="28A545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2DD74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7640716" wp14:editId="0370B734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D66570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FFE394D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30"/>
  </w:num>
  <w:num w:numId="3">
    <w:abstractNumId w:val="10"/>
  </w:num>
  <w:num w:numId="4">
    <w:abstractNumId w:val="9"/>
  </w:num>
  <w:num w:numId="5">
    <w:abstractNumId w:val="23"/>
  </w:num>
  <w:num w:numId="6">
    <w:abstractNumId w:val="37"/>
  </w:num>
  <w:num w:numId="7">
    <w:abstractNumId w:val="38"/>
  </w:num>
  <w:num w:numId="8">
    <w:abstractNumId w:val="24"/>
  </w:num>
  <w:num w:numId="9">
    <w:abstractNumId w:val="35"/>
  </w:num>
  <w:num w:numId="10">
    <w:abstractNumId w:val="17"/>
  </w:num>
  <w:num w:numId="11">
    <w:abstractNumId w:val="36"/>
  </w:num>
  <w:num w:numId="12">
    <w:abstractNumId w:val="21"/>
  </w:num>
  <w:num w:numId="13">
    <w:abstractNumId w:val="6"/>
  </w:num>
  <w:num w:numId="14">
    <w:abstractNumId w:val="0"/>
  </w:num>
  <w:num w:numId="15">
    <w:abstractNumId w:val="31"/>
  </w:num>
  <w:num w:numId="16">
    <w:abstractNumId w:val="2"/>
  </w:num>
  <w:num w:numId="17">
    <w:abstractNumId w:val="11"/>
  </w:num>
  <w:num w:numId="18">
    <w:abstractNumId w:val="29"/>
  </w:num>
  <w:num w:numId="19">
    <w:abstractNumId w:val="15"/>
  </w:num>
  <w:num w:numId="20">
    <w:abstractNumId w:val="28"/>
  </w:num>
  <w:num w:numId="21">
    <w:abstractNumId w:val="14"/>
  </w:num>
  <w:num w:numId="22">
    <w:abstractNumId w:val="18"/>
  </w:num>
  <w:num w:numId="23">
    <w:abstractNumId w:val="39"/>
  </w:num>
  <w:num w:numId="24">
    <w:abstractNumId w:val="20"/>
  </w:num>
  <w:num w:numId="25">
    <w:abstractNumId w:val="33"/>
  </w:num>
  <w:num w:numId="26">
    <w:abstractNumId w:val="1"/>
  </w:num>
  <w:num w:numId="27">
    <w:abstractNumId w:val="40"/>
  </w:num>
  <w:num w:numId="28">
    <w:abstractNumId w:val="3"/>
  </w:num>
  <w:num w:numId="29">
    <w:abstractNumId w:val="5"/>
  </w:num>
  <w:num w:numId="30">
    <w:abstractNumId w:val="12"/>
  </w:num>
  <w:num w:numId="31">
    <w:abstractNumId w:val="25"/>
  </w:num>
  <w:num w:numId="32">
    <w:abstractNumId w:val="22"/>
  </w:num>
  <w:num w:numId="33">
    <w:abstractNumId w:val="32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7"/>
  </w:num>
  <w:num w:numId="39">
    <w:abstractNumId w:val="4"/>
  </w:num>
  <w:num w:numId="40">
    <w:abstractNumId w:val="27"/>
  </w:num>
  <w:num w:numId="41">
    <w:abstractNumId w:val="3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2E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1FCA"/>
    <w:rsid w:val="000E381D"/>
    <w:rsid w:val="000F10AC"/>
    <w:rsid w:val="000F1F6C"/>
    <w:rsid w:val="000F3578"/>
    <w:rsid w:val="00107D4B"/>
    <w:rsid w:val="001122A4"/>
    <w:rsid w:val="00114D5E"/>
    <w:rsid w:val="00122989"/>
    <w:rsid w:val="00125678"/>
    <w:rsid w:val="00134708"/>
    <w:rsid w:val="0014239F"/>
    <w:rsid w:val="00142C00"/>
    <w:rsid w:val="00146474"/>
    <w:rsid w:val="00150801"/>
    <w:rsid w:val="00151B87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2F71"/>
    <w:rsid w:val="001836FA"/>
    <w:rsid w:val="0018499D"/>
    <w:rsid w:val="00192CDE"/>
    <w:rsid w:val="00194BAC"/>
    <w:rsid w:val="00197C40"/>
    <w:rsid w:val="001A5783"/>
    <w:rsid w:val="001B6A62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58F9"/>
    <w:rsid w:val="002F6424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03B6"/>
    <w:rsid w:val="003E27EE"/>
    <w:rsid w:val="003F0D46"/>
    <w:rsid w:val="00402969"/>
    <w:rsid w:val="004033F8"/>
    <w:rsid w:val="00405022"/>
    <w:rsid w:val="004134A7"/>
    <w:rsid w:val="0041550D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7270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17D9A"/>
    <w:rsid w:val="00524A25"/>
    <w:rsid w:val="00543A35"/>
    <w:rsid w:val="00543D61"/>
    <w:rsid w:val="00544DE0"/>
    <w:rsid w:val="00546DEE"/>
    <w:rsid w:val="00557D52"/>
    <w:rsid w:val="005630AC"/>
    <w:rsid w:val="0056425D"/>
    <w:rsid w:val="00567DE7"/>
    <w:rsid w:val="00576E7A"/>
    <w:rsid w:val="00580432"/>
    <w:rsid w:val="005807F5"/>
    <w:rsid w:val="00583D8D"/>
    <w:rsid w:val="0059459E"/>
    <w:rsid w:val="00594DB7"/>
    <w:rsid w:val="00596665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5622C"/>
    <w:rsid w:val="00660954"/>
    <w:rsid w:val="00661764"/>
    <w:rsid w:val="00666599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701F97"/>
    <w:rsid w:val="007025CB"/>
    <w:rsid w:val="007029A9"/>
    <w:rsid w:val="00703E20"/>
    <w:rsid w:val="00706934"/>
    <w:rsid w:val="007231BF"/>
    <w:rsid w:val="00724F05"/>
    <w:rsid w:val="00725D9A"/>
    <w:rsid w:val="00727DF9"/>
    <w:rsid w:val="00742851"/>
    <w:rsid w:val="0074516B"/>
    <w:rsid w:val="007463AD"/>
    <w:rsid w:val="00751D85"/>
    <w:rsid w:val="00752F0C"/>
    <w:rsid w:val="007650E4"/>
    <w:rsid w:val="00767EF9"/>
    <w:rsid w:val="00771D00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4392E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2364"/>
    <w:rsid w:val="009A5F9E"/>
    <w:rsid w:val="009B16FB"/>
    <w:rsid w:val="009B3D59"/>
    <w:rsid w:val="009B7416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075A"/>
    <w:rsid w:val="00A14AF1"/>
    <w:rsid w:val="00A15EF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1D27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0DE3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37DA0"/>
    <w:rsid w:val="00B571E4"/>
    <w:rsid w:val="00B60664"/>
    <w:rsid w:val="00B62D76"/>
    <w:rsid w:val="00B6304C"/>
    <w:rsid w:val="00B70A42"/>
    <w:rsid w:val="00B71302"/>
    <w:rsid w:val="00B74CEE"/>
    <w:rsid w:val="00B77009"/>
    <w:rsid w:val="00B866CB"/>
    <w:rsid w:val="00B91961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31EE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58EC"/>
    <w:rsid w:val="00D278C1"/>
    <w:rsid w:val="00D307D8"/>
    <w:rsid w:val="00D325D1"/>
    <w:rsid w:val="00D43941"/>
    <w:rsid w:val="00D62363"/>
    <w:rsid w:val="00D63FBA"/>
    <w:rsid w:val="00D75F35"/>
    <w:rsid w:val="00D77958"/>
    <w:rsid w:val="00D8053B"/>
    <w:rsid w:val="00D93477"/>
    <w:rsid w:val="00D93FEC"/>
    <w:rsid w:val="00D97196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CDD1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E1FCA"/>
  </w:style>
  <w:style w:type="paragraph" w:customStyle="1" w:styleId="m-238788826140140219gmail-msonormal">
    <w:name w:val="m_-238788826140140219gmail-msonormal"/>
    <w:basedOn w:val="Normal"/>
    <w:rsid w:val="000E1F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6566-C00A-462A-AA43-6C2C8054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Camille R. Jacinto</cp:lastModifiedBy>
  <cp:revision>3</cp:revision>
  <dcterms:created xsi:type="dcterms:W3CDTF">2020-06-29T07:18:00Z</dcterms:created>
  <dcterms:modified xsi:type="dcterms:W3CDTF">2020-06-29T07:41:00Z</dcterms:modified>
</cp:coreProperties>
</file>