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77777777" w:rsidR="0045343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A216DC">
        <w:rPr>
          <w:rFonts w:ascii="Arial" w:eastAsia="Arial" w:hAnsi="Arial" w:cs="Arial"/>
          <w:b/>
          <w:sz w:val="32"/>
          <w:szCs w:val="24"/>
        </w:rPr>
        <w:t>1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E08B8BE" w14:textId="70BF3AEE" w:rsidR="00F04638" w:rsidRDefault="006A367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Armed Conflict</w:t>
      </w:r>
      <w:r w:rsidR="000908DF">
        <w:rPr>
          <w:rFonts w:ascii="Arial" w:eastAsia="Arial" w:hAnsi="Arial" w:cs="Arial"/>
          <w:b/>
          <w:sz w:val="32"/>
          <w:szCs w:val="24"/>
        </w:rPr>
        <w:t xml:space="preserve"> </w:t>
      </w:r>
      <w:r w:rsidR="00AA6CE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08DF">
        <w:rPr>
          <w:rFonts w:ascii="Arial" w:eastAsia="Arial" w:hAnsi="Arial" w:cs="Arial"/>
          <w:b/>
          <w:sz w:val="32"/>
          <w:szCs w:val="24"/>
        </w:rPr>
        <w:t>Pikit</w:t>
      </w:r>
      <w:proofErr w:type="spellEnd"/>
      <w:r w:rsidR="000908DF">
        <w:rPr>
          <w:rFonts w:ascii="Arial" w:eastAsia="Arial" w:hAnsi="Arial" w:cs="Arial"/>
          <w:b/>
          <w:sz w:val="32"/>
          <w:szCs w:val="24"/>
        </w:rPr>
        <w:t xml:space="preserve">, 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North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C</w:t>
      </w:r>
      <w:r w:rsidR="00F04638" w:rsidRPr="00F04638">
        <w:rPr>
          <w:rFonts w:ascii="Arial" w:eastAsia="Arial" w:hAnsi="Arial" w:cs="Arial"/>
          <w:b/>
          <w:sz w:val="32"/>
          <w:szCs w:val="24"/>
        </w:rPr>
        <w:t>otabato</w:t>
      </w:r>
      <w:proofErr w:type="spellEnd"/>
    </w:p>
    <w:p w14:paraId="150B165C" w14:textId="6B94263D" w:rsidR="00E94313" w:rsidRPr="00F0463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A216DC">
        <w:rPr>
          <w:rFonts w:ascii="Arial" w:eastAsia="Arial" w:hAnsi="Arial" w:cs="Arial"/>
          <w:sz w:val="24"/>
          <w:szCs w:val="24"/>
        </w:rPr>
        <w:t>10</w:t>
      </w:r>
      <w:r w:rsidR="00B12799">
        <w:rPr>
          <w:rFonts w:ascii="Arial" w:eastAsia="Arial" w:hAnsi="Arial" w:cs="Arial"/>
          <w:sz w:val="24"/>
          <w:szCs w:val="24"/>
        </w:rPr>
        <w:t xml:space="preserve"> June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A216DC">
        <w:rPr>
          <w:rFonts w:ascii="Arial" w:eastAsia="Arial" w:hAnsi="Arial" w:cs="Arial"/>
          <w:sz w:val="24"/>
          <w:szCs w:val="24"/>
        </w:rPr>
        <w:t>6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098FD5D" w14:textId="77777777" w:rsidR="00A216DC" w:rsidRPr="00AE4967" w:rsidRDefault="00A216DC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D7465E" w14:textId="13B34FC4" w:rsidR="005734ED" w:rsidRDefault="00C670C1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07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among unidentified armed groups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Brgys</w:t>
      </w:r>
      <w:proofErr w:type="spellEnd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Rajamuda</w:t>
      </w:r>
      <w:proofErr w:type="spellEnd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Talitau</w:t>
      </w:r>
      <w:proofErr w:type="spellEnd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Bulol</w:t>
      </w:r>
      <w:proofErr w:type="spellEnd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Bulod</w:t>
      </w:r>
      <w:proofErr w:type="spellEnd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A216DC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which resulted to t</w:t>
      </w:r>
      <w:r w:rsidR="00131888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13188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F4D6697" w14:textId="5C275205" w:rsidR="007E5483" w:rsidRPr="000908DF" w:rsidRDefault="00AE4967" w:rsidP="00AE096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EBBED82" w14:textId="77777777" w:rsidR="000908DF" w:rsidRDefault="000908DF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</w:p>
    <w:p w14:paraId="27657A29" w14:textId="3BE080DA" w:rsidR="00470FE4" w:rsidRPr="00AE4967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2F24124" w:rsidR="00470FE4" w:rsidRPr="00D52DBA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1,308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3,953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D52DB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AA6CE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C0ABF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D52DB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AA6CEC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proofErr w:type="spellEnd"/>
      <w:r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Pr="00AA6CEC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52DB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E4967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84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812"/>
        <w:gridCol w:w="1562"/>
        <w:gridCol w:w="1462"/>
        <w:gridCol w:w="1460"/>
      </w:tblGrid>
      <w:tr w:rsidR="00AA6CEC" w:rsidRPr="00AA6CEC" w14:paraId="4005AF70" w14:textId="77777777" w:rsidTr="00AE096E">
        <w:trPr>
          <w:trHeight w:val="55"/>
        </w:trPr>
        <w:tc>
          <w:tcPr>
            <w:tcW w:w="2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FB4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E23F1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A6CEC" w:rsidRPr="00AA6CEC" w14:paraId="0E9A627D" w14:textId="77777777" w:rsidTr="00AE096E">
        <w:trPr>
          <w:trHeight w:val="55"/>
        </w:trPr>
        <w:tc>
          <w:tcPr>
            <w:tcW w:w="2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B181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F8046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D22D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CC89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A6CEC" w:rsidRPr="00AA6CEC" w14:paraId="2E453382" w14:textId="77777777" w:rsidTr="00AE096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2C79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31B9D" w14:textId="1020B711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720F7" w14:textId="2C76376B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1,308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86FC8" w14:textId="14F7E0C1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3,953 </w:t>
            </w:r>
          </w:p>
        </w:tc>
      </w:tr>
      <w:tr w:rsidR="00AA6CEC" w:rsidRPr="00AA6CEC" w14:paraId="262F7DD3" w14:textId="77777777" w:rsidTr="00AE096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5D2C7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3D9E3" w14:textId="757BD5DB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A98C7" w14:textId="5223C59D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F6C9" w14:textId="7D284B43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3,953 </w:t>
            </w:r>
          </w:p>
        </w:tc>
      </w:tr>
      <w:tr w:rsidR="00AA6CEC" w:rsidRPr="00AA6CEC" w14:paraId="76D9AD64" w14:textId="77777777" w:rsidTr="00AE096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C46C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E229F" w14:textId="1469D7AC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3213B" w14:textId="3DB19504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1,308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8463" w14:textId="0F365A46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3,953 </w:t>
            </w:r>
          </w:p>
        </w:tc>
      </w:tr>
      <w:tr w:rsidR="00AA6CEC" w:rsidRPr="00AA6CEC" w14:paraId="75D3355F" w14:textId="77777777" w:rsidTr="00AE096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D6F5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C31C6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3853" w14:textId="0539BE5E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36EE5" w14:textId="1D73B97A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1F726" w14:textId="589731B0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3,953 </w:t>
            </w:r>
          </w:p>
        </w:tc>
      </w:tr>
    </w:tbl>
    <w:p w14:paraId="42CFFD81" w14:textId="77777777" w:rsidR="00C71101" w:rsidRPr="00A6749E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77D7766C" w14:textId="6CD3D8EE" w:rsidR="00AA6CEC" w:rsidRPr="000908DF" w:rsidRDefault="005930E9" w:rsidP="00AE096E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41C368E" w14:textId="77777777" w:rsidR="000908DF" w:rsidRDefault="000908DF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7BA9D" w14:textId="1DC68655" w:rsidR="005318D3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025E9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0D6B755B" w:rsidR="00E04AE5" w:rsidRPr="00890200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AA6C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761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AA6CE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2,308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62C7C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4</w:t>
      </w:r>
      <w:r w:rsidR="00E04AE5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AA6C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AA6CEC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AA6CEC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proofErr w:type="spellEnd"/>
      <w:r w:rsidR="0023610A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23610A" w:rsidRPr="00AA6CEC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23610A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4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982"/>
        <w:gridCol w:w="857"/>
        <w:gridCol w:w="816"/>
        <w:gridCol w:w="1264"/>
        <w:gridCol w:w="1265"/>
        <w:gridCol w:w="1264"/>
        <w:gridCol w:w="1257"/>
      </w:tblGrid>
      <w:tr w:rsidR="00AA6CEC" w:rsidRPr="00AA6CEC" w14:paraId="27BD3CED" w14:textId="77777777" w:rsidTr="00AA6CEC">
        <w:trPr>
          <w:trHeight w:val="20"/>
        </w:trPr>
        <w:tc>
          <w:tcPr>
            <w:tcW w:w="1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F17ED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5C00E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5B493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A6CEC" w:rsidRPr="00AA6CEC" w14:paraId="6FB8665B" w14:textId="77777777" w:rsidTr="00AA6CEC">
        <w:trPr>
          <w:trHeight w:val="20"/>
        </w:trPr>
        <w:tc>
          <w:tcPr>
            <w:tcW w:w="1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1B8D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C6B0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3F4F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A6CEC" w:rsidRPr="00AA6CEC" w14:paraId="23CE9B62" w14:textId="77777777" w:rsidTr="00AA6CEC">
        <w:trPr>
          <w:trHeight w:val="20"/>
        </w:trPr>
        <w:tc>
          <w:tcPr>
            <w:tcW w:w="1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94CB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DA3B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E2E7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C66C0" w14:textId="387A927D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6CEC" w:rsidRPr="00AA6CEC" w14:paraId="57CE3784" w14:textId="77777777" w:rsidTr="00AA6CEC">
        <w:trPr>
          <w:trHeight w:val="20"/>
        </w:trPr>
        <w:tc>
          <w:tcPr>
            <w:tcW w:w="1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CAF4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D000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97648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594F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0B88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4675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DF7A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A6CEC" w:rsidRPr="00AA6CEC" w14:paraId="0CA3CD1B" w14:textId="77777777" w:rsidTr="00AA6CEC">
        <w:trPr>
          <w:trHeight w:val="20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6CF5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BADB" w14:textId="1243CAD5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6B2D" w14:textId="46E70892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A94DB" w14:textId="710317BE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D8AF8" w14:textId="762D0B83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3E36" w14:textId="3E4D55DE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2,308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46998" w14:textId="2AFC4630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2,308 </w:t>
            </w:r>
          </w:p>
        </w:tc>
      </w:tr>
      <w:tr w:rsidR="00AA6CEC" w:rsidRPr="00AA6CEC" w14:paraId="0FA30D08" w14:textId="77777777" w:rsidTr="00AA6CEC">
        <w:trPr>
          <w:trHeight w:val="20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32F8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00360" w14:textId="44C49E78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44F5" w14:textId="526B6F76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835A1" w14:textId="533BC386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E5E64" w14:textId="119A4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1ABD" w14:textId="1C91B3AA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2,308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69A87" w14:textId="63D8B501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2,308 </w:t>
            </w:r>
          </w:p>
        </w:tc>
      </w:tr>
      <w:tr w:rsidR="00AA6CEC" w:rsidRPr="00AA6CEC" w14:paraId="2A1AA6E3" w14:textId="77777777" w:rsidTr="00AA6CEC">
        <w:trPr>
          <w:trHeight w:val="20"/>
        </w:trPr>
        <w:tc>
          <w:tcPr>
            <w:tcW w:w="1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932A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B95A" w14:textId="6E8ABDF3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9EB7" w14:textId="224E358D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9B756" w14:textId="7B728F58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2473" w14:textId="5A5883E8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2312F" w14:textId="55991E02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5B703" w14:textId="7E5B7A46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2,308 </w:t>
            </w:r>
          </w:p>
        </w:tc>
      </w:tr>
      <w:tr w:rsidR="00AA6CEC" w:rsidRPr="00AA6CEC" w14:paraId="65FE063B" w14:textId="77777777" w:rsidTr="00AA6CEC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1202A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D2F6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8E9D4" w14:textId="35BE08D4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F4847" w14:textId="62B9EB82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929A" w14:textId="16A5E549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EA60" w14:textId="5BAF22EC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422D7" w14:textId="31360D44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7443" w14:textId="7146650C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2,308 </w:t>
            </w:r>
          </w:p>
        </w:tc>
      </w:tr>
    </w:tbl>
    <w:p w14:paraId="0CF61243" w14:textId="77777777" w:rsidR="002D1B51" w:rsidRDefault="009376A4" w:rsidP="00AE096E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C110CCB" w14:textId="5307559E" w:rsidR="000908DF" w:rsidRPr="000908DF" w:rsidRDefault="00875F87" w:rsidP="00AE096E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0582B07A" w14:textId="77777777" w:rsidR="000908DF" w:rsidRDefault="000908DF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7020B20" w14:textId="0BE0ADB9" w:rsidR="00E04AE5" w:rsidRPr="00C025E9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025E9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605E46F1" w:rsidR="005318D3" w:rsidRPr="00D63239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547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6CEC" w:rsidRPr="00AA6CEC">
        <w:rPr>
          <w:rFonts w:ascii="Arial" w:eastAsia="Arial" w:hAnsi="Arial" w:cs="Arial"/>
          <w:b/>
          <w:color w:val="0070C0"/>
          <w:sz w:val="24"/>
          <w:szCs w:val="24"/>
        </w:rPr>
        <w:t xml:space="preserve">1,645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28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0"/>
        <w:gridCol w:w="1531"/>
        <w:gridCol w:w="1531"/>
        <w:gridCol w:w="1531"/>
        <w:gridCol w:w="1531"/>
      </w:tblGrid>
      <w:tr w:rsidR="00AA6CEC" w:rsidRPr="00AA6CEC" w14:paraId="409AA5DF" w14:textId="77777777" w:rsidTr="000908DF">
        <w:trPr>
          <w:trHeight w:val="20"/>
          <w:tblHeader/>
        </w:trPr>
        <w:tc>
          <w:tcPr>
            <w:tcW w:w="1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F829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E75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A6CEC" w:rsidRPr="00AA6CEC" w14:paraId="6068EEA0" w14:textId="77777777" w:rsidTr="000908DF">
        <w:trPr>
          <w:trHeight w:val="20"/>
          <w:tblHeader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2DE9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0B93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A6CEC" w:rsidRPr="00AA6CEC" w14:paraId="778DDA29" w14:textId="77777777" w:rsidTr="000908DF">
        <w:trPr>
          <w:trHeight w:val="20"/>
          <w:tblHeader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635E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BCE90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33BE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A6CEC" w:rsidRPr="00AA6CEC" w14:paraId="5F196E0D" w14:textId="77777777" w:rsidTr="000908DF">
        <w:trPr>
          <w:trHeight w:val="20"/>
          <w:tblHeader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4471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96C1C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52577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B4862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9EB6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A6CEC" w:rsidRPr="00AA6CEC" w14:paraId="6DCA8E2C" w14:textId="77777777" w:rsidTr="000908DF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7AD6D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4F21C" w14:textId="573C97D6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E8E6" w14:textId="64F34EA5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B9965" w14:textId="4DD3DB4B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1,645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8895E" w14:textId="16BED63D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1,645 </w:t>
            </w:r>
          </w:p>
        </w:tc>
      </w:tr>
      <w:tr w:rsidR="00AA6CEC" w:rsidRPr="00AA6CEC" w14:paraId="2F2074F2" w14:textId="77777777" w:rsidTr="000908DF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2293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XII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42D29" w14:textId="6027A174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52382" w14:textId="379E8643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0131C" w14:textId="6CD986F0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1,645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9EDB1" w14:textId="26B51335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1,645 </w:t>
            </w:r>
          </w:p>
        </w:tc>
      </w:tr>
      <w:tr w:rsidR="00AA6CEC" w:rsidRPr="00AA6CEC" w14:paraId="5B98F3FB" w14:textId="77777777" w:rsidTr="000908DF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32FF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81443" w14:textId="6B78910B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E2DF2" w14:textId="35713D96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5946D" w14:textId="473DF4D4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1,645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BE8A5" w14:textId="31C2AA92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1,645 </w:t>
            </w:r>
          </w:p>
        </w:tc>
      </w:tr>
      <w:tr w:rsidR="00AA6CEC" w:rsidRPr="00AA6CEC" w14:paraId="203D9B6F" w14:textId="77777777" w:rsidTr="000908D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CFB5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1F55" w14:textId="77777777" w:rsidR="00AA6CEC" w:rsidRPr="00AA6CEC" w:rsidRDefault="00AA6CEC" w:rsidP="00AE09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BCBC9" w14:textId="1D92D253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9191" w14:textId="3158676F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547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66AD" w14:textId="1D38A14A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1,645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5F67B" w14:textId="0F616F9C" w:rsidR="00AA6CEC" w:rsidRPr="00AA6CEC" w:rsidRDefault="00AA6CEC" w:rsidP="00AE09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C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1,645 </w:t>
            </w:r>
          </w:p>
        </w:tc>
      </w:tr>
    </w:tbl>
    <w:p w14:paraId="4EA3364A" w14:textId="77777777" w:rsidR="00890200" w:rsidRPr="00E04AE5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2FE2444B" w14:textId="7C4F5B75" w:rsidR="000A69C5" w:rsidRPr="000908DF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D8E2C99" w14:textId="3EAD7C14" w:rsidR="00AE096E" w:rsidRDefault="00AE096E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207DE568" w14:textId="77777777" w:rsidR="00AE096E" w:rsidRPr="00AE096E" w:rsidRDefault="00AE096E" w:rsidP="00AE096E">
      <w:pPr>
        <w:spacing w:after="0" w:line="240" w:lineRule="auto"/>
        <w:contextualSpacing/>
      </w:pPr>
    </w:p>
    <w:p w14:paraId="0105ACB9" w14:textId="4734542D" w:rsidR="003D0AEA" w:rsidRPr="001B7B64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AD60F6A" w:rsidR="003D0AEA" w:rsidRPr="009E72D8" w:rsidRDefault="000908DF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357D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654A30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654A30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654A3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07B8E9C" w:rsidR="0095060C" w:rsidRPr="000908DF" w:rsidRDefault="00FD3497" w:rsidP="00AE096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="00357D26"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>une</w:t>
            </w:r>
            <w:r w:rsidR="00FF55CF"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77777777" w:rsidR="00203D98" w:rsidRDefault="000908DF" w:rsidP="00AE096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conducted validation and coordination to the Municipal Social Welfare Officer in the Municipality of </w:t>
            </w:r>
            <w:proofErr w:type="spellStart"/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North </w:t>
            </w:r>
            <w:proofErr w:type="spellStart"/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Pr="000908D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BDFEDAC" w14:textId="1E770095" w:rsidR="000908DF" w:rsidRPr="006B7A8B" w:rsidRDefault="000908DF" w:rsidP="00AE096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XII is in c</w:t>
            </w:r>
            <w:r w:rsidR="00AE096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lose coordination with LGU of </w:t>
            </w:r>
            <w:proofErr w:type="spellStart"/>
            <w:r w:rsidR="00AE096E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="00AE096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its MDRRMO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MSWDO for any significant updates and possible relief augmentation.</w:t>
            </w:r>
            <w:bookmarkStart w:id="3" w:name="_GoBack"/>
            <w:bookmarkEnd w:id="3"/>
          </w:p>
        </w:tc>
      </w:tr>
    </w:tbl>
    <w:p w14:paraId="3616D818" w14:textId="77777777" w:rsidR="00803294" w:rsidRDefault="00803294" w:rsidP="00AE096E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256CE730" w14:textId="77777777" w:rsidR="00470FE4" w:rsidRPr="001B7B64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340C00EC" w:rsidR="001B7B64" w:rsidRDefault="00B25F5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4B8C3DDE" w14:textId="77777777" w:rsidR="006B7A8B" w:rsidRPr="001B7B64" w:rsidRDefault="006B7A8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74056D4B" w:rsidR="00B25F5C" w:rsidRPr="00AE4967" w:rsidRDefault="006B7A8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FAF5942" w14:textId="77777777" w:rsidR="00A949BE" w:rsidRDefault="00A949BE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2793BE9" w:rsidR="00470FE4" w:rsidRPr="00AE4967" w:rsidRDefault="00803C2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77777777" w:rsidR="00584FCB" w:rsidRPr="00AE4967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34AA" w14:textId="77777777" w:rsidR="00A97389" w:rsidRDefault="00A97389">
      <w:pPr>
        <w:spacing w:after="0" w:line="240" w:lineRule="auto"/>
      </w:pPr>
      <w:r>
        <w:separator/>
      </w:r>
    </w:p>
  </w:endnote>
  <w:endnote w:type="continuationSeparator" w:id="0">
    <w:p w14:paraId="075893FA" w14:textId="77777777" w:rsidR="00A97389" w:rsidRDefault="00A9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0B433F8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E096E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E096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131888">
      <w:rPr>
        <w:rFonts w:ascii="Arial" w:hAnsi="Arial" w:cs="Arial"/>
        <w:sz w:val="14"/>
        <w:szCs w:val="16"/>
      </w:rPr>
      <w:t xml:space="preserve">1 </w:t>
    </w:r>
    <w:r w:rsidR="00131888" w:rsidRPr="00131888">
      <w:rPr>
        <w:rFonts w:ascii="Arial" w:hAnsi="Arial" w:cs="Arial"/>
        <w:sz w:val="14"/>
        <w:szCs w:val="16"/>
      </w:rPr>
      <w:t xml:space="preserve">Armed Conflict in </w:t>
    </w:r>
    <w:proofErr w:type="spellStart"/>
    <w:r w:rsidR="00131888" w:rsidRPr="00131888">
      <w:rPr>
        <w:rFonts w:ascii="Arial" w:hAnsi="Arial" w:cs="Arial"/>
        <w:sz w:val="14"/>
        <w:szCs w:val="16"/>
      </w:rPr>
      <w:t>Pikit</w:t>
    </w:r>
    <w:proofErr w:type="spellEnd"/>
    <w:r w:rsidR="00131888" w:rsidRPr="00131888">
      <w:rPr>
        <w:rFonts w:ascii="Arial" w:hAnsi="Arial" w:cs="Arial"/>
        <w:sz w:val="14"/>
        <w:szCs w:val="16"/>
      </w:rPr>
      <w:t xml:space="preserve">, North </w:t>
    </w:r>
    <w:proofErr w:type="spellStart"/>
    <w:r w:rsidR="00131888" w:rsidRPr="00131888">
      <w:rPr>
        <w:rFonts w:ascii="Arial" w:hAnsi="Arial" w:cs="Arial"/>
        <w:sz w:val="14"/>
        <w:szCs w:val="16"/>
      </w:rPr>
      <w:t>Cotabato</w:t>
    </w:r>
    <w:proofErr w:type="spellEnd"/>
    <w:r w:rsidR="00131888">
      <w:rPr>
        <w:rFonts w:ascii="Arial" w:hAnsi="Arial" w:cs="Arial"/>
        <w:sz w:val="14"/>
        <w:szCs w:val="16"/>
      </w:rPr>
      <w:t xml:space="preserve"> as of 10 June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C90E" w14:textId="77777777" w:rsidR="00A97389" w:rsidRDefault="00A97389">
      <w:pPr>
        <w:spacing w:after="0" w:line="240" w:lineRule="auto"/>
      </w:pPr>
      <w:r>
        <w:separator/>
      </w:r>
    </w:p>
  </w:footnote>
  <w:footnote w:type="continuationSeparator" w:id="0">
    <w:p w14:paraId="199DBDC7" w14:textId="77777777" w:rsidR="00A97389" w:rsidRDefault="00A9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90501"/>
    <w:rsid w:val="000908DF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1888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7093"/>
    <w:rsid w:val="003D0AEA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475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853B7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F1169"/>
    <w:rsid w:val="00AF47F9"/>
    <w:rsid w:val="00AF4FCB"/>
    <w:rsid w:val="00AF5800"/>
    <w:rsid w:val="00B0192D"/>
    <w:rsid w:val="00B12799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6C1C-C38C-4DAF-8555-139A30EF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7</cp:revision>
  <dcterms:created xsi:type="dcterms:W3CDTF">2020-06-10T06:26:00Z</dcterms:created>
  <dcterms:modified xsi:type="dcterms:W3CDTF">2020-06-10T08:46:00Z</dcterms:modified>
</cp:coreProperties>
</file>