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5549CBA3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9363AB">
        <w:rPr>
          <w:rFonts w:ascii="Arial" w:eastAsia="Arial" w:hAnsi="Arial" w:cs="Arial"/>
          <w:b/>
          <w:sz w:val="32"/>
          <w:szCs w:val="32"/>
        </w:rPr>
        <w:t>4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70BF3AEE" w:rsidR="00F04638" w:rsidRPr="00087B58" w:rsidRDefault="006A367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Armed Conflict</w:t>
      </w:r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A6CEC"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Pikit, 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>North Cotabato</w:t>
      </w:r>
    </w:p>
    <w:p w14:paraId="150B165C" w14:textId="770CB708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363AB">
        <w:rPr>
          <w:rFonts w:ascii="Arial" w:eastAsia="Arial" w:hAnsi="Arial" w:cs="Arial"/>
          <w:sz w:val="24"/>
          <w:szCs w:val="24"/>
        </w:rPr>
        <w:t>3</w:t>
      </w:r>
      <w:r w:rsidR="00F35540" w:rsidRPr="00087B58">
        <w:rPr>
          <w:rFonts w:ascii="Arial" w:eastAsia="Arial" w:hAnsi="Arial" w:cs="Arial"/>
          <w:sz w:val="24"/>
          <w:szCs w:val="24"/>
        </w:rPr>
        <w:t>1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Ju</w:t>
      </w:r>
      <w:r w:rsidR="00CA273C" w:rsidRPr="00087B58">
        <w:rPr>
          <w:rFonts w:ascii="Arial" w:eastAsia="Arial" w:hAnsi="Arial" w:cs="Arial"/>
          <w:sz w:val="24"/>
          <w:szCs w:val="24"/>
        </w:rPr>
        <w:t>ly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9363AB">
        <w:rPr>
          <w:rFonts w:ascii="Arial" w:eastAsia="Arial" w:hAnsi="Arial" w:cs="Arial"/>
          <w:sz w:val="24"/>
          <w:szCs w:val="24"/>
        </w:rPr>
        <w:t>4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4C8D7155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07</w:t>
      </w:r>
      <w:r w:rsidR="00E94313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among unidentified armed groups</w:t>
      </w:r>
      <w:r w:rsidR="00367207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E7126D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Barangays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Rajamuda, Talitau, Bulol and Bulod in Pikit, North Cotabato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131888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131888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2" w:name="_30j0zll" w:colFirst="0" w:colLast="0"/>
      <w:bookmarkEnd w:id="2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0E9778D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257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273C" w:rsidRPr="00087B58">
        <w:rPr>
          <w:rFonts w:ascii="Arial" w:eastAsia="Arial" w:hAnsi="Arial" w:cs="Arial"/>
          <w:b/>
          <w:color w:val="auto"/>
          <w:sz w:val="24"/>
          <w:szCs w:val="24"/>
        </w:rPr>
        <w:t>11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75109A" w:rsidRPr="00087B58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087B58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087B58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7050" w:rsidRPr="00087B58" w14:paraId="6931F1D6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436E4E02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2470D9CE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2D531" w14:textId="7BA41A0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4026B84A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37173299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42F35" w14:textId="34F5FC3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3ECC8" w14:textId="058FC56B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27D881C4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77EDBC6D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56AE2" w14:textId="27307838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256DE" w14:textId="3AB65FD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6A00CC87" w14:textId="77777777" w:rsidTr="009570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4E60" w14:textId="395192F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7F4E" w14:textId="776024E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0D2E5B7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11,730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04428CAC" w:rsidR="00E04AE5" w:rsidRPr="009363A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F35540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403 </w:t>
      </w:r>
      <w:r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35540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1,552 </w:t>
      </w:r>
      <w:r w:rsidR="00354854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35540" w:rsidRPr="009363A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3 </w:t>
      </w:r>
      <w:r w:rsidR="0074289B" w:rsidRPr="009363A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9363A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9363A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162C7C" w:rsidRPr="009363AB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r w:rsidR="0023610A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14" w:type="pct"/>
        <w:tblInd w:w="805" w:type="dxa"/>
        <w:tblLook w:val="04A0" w:firstRow="1" w:lastRow="0" w:firstColumn="1" w:lastColumn="0" w:noHBand="0" w:noVBand="1"/>
      </w:tblPr>
      <w:tblGrid>
        <w:gridCol w:w="332"/>
        <w:gridCol w:w="2007"/>
        <w:gridCol w:w="845"/>
        <w:gridCol w:w="997"/>
        <w:gridCol w:w="1053"/>
        <w:gridCol w:w="1251"/>
        <w:gridCol w:w="1253"/>
        <w:gridCol w:w="1247"/>
      </w:tblGrid>
      <w:tr w:rsidR="00F35540" w:rsidRPr="00087B58" w14:paraId="3E7C5B39" w14:textId="77777777" w:rsidTr="00AE570A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9F7BBC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5AAAF3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5CE2FA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35540" w:rsidRPr="00087B58" w14:paraId="5F0413A8" w14:textId="77777777" w:rsidTr="00AE570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81B5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DB1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D1CF21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35540" w:rsidRPr="00087B58" w14:paraId="70F80EA1" w14:textId="77777777" w:rsidTr="00AE570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F8CF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02CD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385800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94D690" w14:textId="567D8CF1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5540" w:rsidRPr="00087B58" w14:paraId="3B5B0797" w14:textId="77777777" w:rsidTr="00AE570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18CB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020993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36208D" w14:textId="55FC6030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8B740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EEE9DE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8E9B6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EC894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35540" w:rsidRPr="00087B58" w14:paraId="48655D42" w14:textId="77777777" w:rsidTr="00AE570A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2A727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736C72" w14:textId="1EC17588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140CC2" w14:textId="1BA55CEB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3A42EC" w14:textId="05BE090D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26266A" w14:textId="2A5E0490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9C5957" w14:textId="48BB6859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1C5E95" w14:textId="5C704E8C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1,552 </w:t>
            </w:r>
          </w:p>
        </w:tc>
      </w:tr>
      <w:tr w:rsidR="00F35540" w:rsidRPr="00087B58" w14:paraId="3181CF46" w14:textId="77777777" w:rsidTr="00AE570A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B792BA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84DD08" w14:textId="595E7FCD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2078A9" w14:textId="79663E26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C1D5CA" w14:textId="56807989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33A3E3" w14:textId="42023E9A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31EE4" w14:textId="62897B33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651275" w14:textId="6EDB1254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1,552 </w:t>
            </w:r>
          </w:p>
        </w:tc>
      </w:tr>
      <w:tr w:rsidR="00F35540" w:rsidRPr="00087B58" w14:paraId="15F65E37" w14:textId="77777777" w:rsidTr="00AE570A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96FD1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439865" w14:textId="17ED42F4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A0AA5" w14:textId="51215B3D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73F5F" w14:textId="0C67D40B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06FAC6" w14:textId="29372C3F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CF60E8" w14:textId="6F3A4851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5A277" w14:textId="59FD1109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1,552 </w:t>
            </w:r>
          </w:p>
        </w:tc>
      </w:tr>
      <w:tr w:rsidR="00F35540" w:rsidRPr="00087B58" w14:paraId="60D771EC" w14:textId="77777777" w:rsidTr="00AE570A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91331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F38D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3D44" w14:textId="011B8FE0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39C4" w14:textId="6590DB5C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C26F" w14:textId="2C1D909A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F8F0" w14:textId="76AE3D91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D625" w14:textId="4F1C086A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23CE" w14:textId="09528743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</w:tr>
    </w:tbl>
    <w:p w14:paraId="0CF61243" w14:textId="0CAA2621" w:rsidR="002D1B51" w:rsidRPr="00087B58" w:rsidRDefault="002D1B51" w:rsidP="00087B58">
      <w:pPr>
        <w:spacing w:after="0" w:line="240" w:lineRule="auto"/>
        <w:ind w:firstLine="72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3AFF8854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5D896078" w:rsidR="005318D3" w:rsidRPr="009363AB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363AB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 339 </w:t>
      </w:r>
      <w:r w:rsidRPr="009363A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35540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1,217 </w:t>
      </w:r>
      <w:r w:rsidRPr="009363A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t</w:t>
      </w:r>
      <w:r w:rsidRPr="009363A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644" w:type="pct"/>
        <w:tblInd w:w="805" w:type="dxa"/>
        <w:tblLook w:val="04A0" w:firstRow="1" w:lastRow="0" w:firstColumn="1" w:lastColumn="0" w:noHBand="0" w:noVBand="1"/>
      </w:tblPr>
      <w:tblGrid>
        <w:gridCol w:w="330"/>
        <w:gridCol w:w="2647"/>
        <w:gridCol w:w="1517"/>
        <w:gridCol w:w="1518"/>
        <w:gridCol w:w="1518"/>
        <w:gridCol w:w="1514"/>
      </w:tblGrid>
      <w:tr w:rsidR="00F35540" w:rsidRPr="00116C4D" w14:paraId="62BDC9BA" w14:textId="77777777" w:rsidTr="00AE570A">
        <w:trPr>
          <w:trHeight w:val="20"/>
          <w:tblHeader/>
        </w:trPr>
        <w:tc>
          <w:tcPr>
            <w:tcW w:w="1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4E4150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2C68D0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35540" w:rsidRPr="00116C4D" w14:paraId="0AA45CAE" w14:textId="77777777" w:rsidTr="00AE570A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E06E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DE991B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35540" w:rsidRPr="00116C4D" w14:paraId="5A64B69F" w14:textId="77777777" w:rsidTr="00AE570A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7B5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59F2F3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9FFBC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5540" w:rsidRPr="00116C4D" w14:paraId="16DA1878" w14:textId="77777777" w:rsidTr="00AE570A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DE1B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5BA4AD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C945C9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86E7B2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734991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35540" w:rsidRPr="00116C4D" w14:paraId="4F22C37B" w14:textId="77777777" w:rsidTr="00AE570A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88C4F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B9F45" w14:textId="6EB36033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69FB78" w14:textId="23FC8AAF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E12FE5" w14:textId="0A08B7EA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F71D10" w14:textId="56912CDC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1,217 </w:t>
            </w:r>
          </w:p>
        </w:tc>
      </w:tr>
      <w:tr w:rsidR="00F35540" w:rsidRPr="00116C4D" w14:paraId="4F6B85E6" w14:textId="77777777" w:rsidTr="00AE570A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B22944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E5D88A" w14:textId="29F97BB1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100DF" w14:textId="561A358E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7B4395" w14:textId="59D3F186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DC5310" w14:textId="43B17325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1,217 </w:t>
            </w:r>
          </w:p>
        </w:tc>
      </w:tr>
      <w:tr w:rsidR="00F35540" w:rsidRPr="00116C4D" w14:paraId="12154852" w14:textId="77777777" w:rsidTr="00AE570A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C9BF3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North Cotabato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7997B" w14:textId="3D62A9A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80C93" w14:textId="6F1F5934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975E36" w14:textId="4B7B2795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60C5E" w14:textId="7D96B2B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1,217 </w:t>
            </w:r>
          </w:p>
        </w:tc>
      </w:tr>
      <w:tr w:rsidR="00F35540" w:rsidRPr="00116C4D" w14:paraId="0DA262EE" w14:textId="77777777" w:rsidTr="00AE570A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420EB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BAE0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059B" w14:textId="2D6DD811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EA2A" w14:textId="22725D59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4BD0" w14:textId="015EFDA9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3C62" w14:textId="4726538B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1,217 </w:t>
            </w:r>
          </w:p>
        </w:tc>
      </w:tr>
    </w:tbl>
    <w:p w14:paraId="4EA3364A" w14:textId="77777777" w:rsidR="00890200" w:rsidRPr="009B28CF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2FE2444B" w14:textId="372C4CF6" w:rsidR="000A69C5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39915801" w14:textId="77777777" w:rsidR="00D34D09" w:rsidRPr="009B28CF" w:rsidRDefault="00D34D09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256C4841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4C617E9" w:rsidR="00D34D09" w:rsidRDefault="00D34D09" w:rsidP="00D34D09">
      <w:pPr>
        <w:rPr>
          <w:rFonts w:ascii="Arial" w:hAnsi="Arial" w:cs="Arial"/>
          <w:sz w:val="24"/>
          <w:szCs w:val="24"/>
        </w:rPr>
      </w:pPr>
      <w:r w:rsidRPr="00D34D09">
        <w:rPr>
          <w:rFonts w:ascii="Arial" w:hAnsi="Arial" w:cs="Arial"/>
          <w:sz w:val="24"/>
          <w:szCs w:val="24"/>
        </w:rPr>
        <w:t xml:space="preserve">There were </w:t>
      </w:r>
      <w:r w:rsidRPr="00D34D09">
        <w:rPr>
          <w:rFonts w:ascii="Arial" w:hAnsi="Arial" w:cs="Arial"/>
          <w:b/>
          <w:color w:val="0070C0"/>
          <w:sz w:val="24"/>
          <w:szCs w:val="24"/>
        </w:rPr>
        <w:t>265 damaged houses</w:t>
      </w:r>
      <w:r w:rsidRPr="00D34D09">
        <w:rPr>
          <w:rFonts w:ascii="Arial" w:hAnsi="Arial" w:cs="Arial"/>
          <w:sz w:val="24"/>
          <w:szCs w:val="24"/>
        </w:rPr>
        <w:t xml:space="preserve">; of which, </w:t>
      </w:r>
      <w:r w:rsidRPr="00D34D09">
        <w:rPr>
          <w:rFonts w:ascii="Arial" w:hAnsi="Arial" w:cs="Arial"/>
          <w:b/>
          <w:color w:val="0070C0"/>
          <w:sz w:val="24"/>
          <w:szCs w:val="24"/>
        </w:rPr>
        <w:t>194 were totally damaged</w:t>
      </w:r>
      <w:r w:rsidRPr="00D34D09">
        <w:rPr>
          <w:rFonts w:ascii="Arial" w:hAnsi="Arial" w:cs="Arial"/>
          <w:color w:val="0070C0"/>
          <w:sz w:val="24"/>
          <w:szCs w:val="24"/>
        </w:rPr>
        <w:t xml:space="preserve"> </w:t>
      </w:r>
      <w:r w:rsidRPr="00D34D09">
        <w:rPr>
          <w:rFonts w:ascii="Arial" w:hAnsi="Arial" w:cs="Arial"/>
          <w:sz w:val="24"/>
          <w:szCs w:val="24"/>
        </w:rPr>
        <w:t xml:space="preserve">and </w:t>
      </w:r>
      <w:r w:rsidRPr="00D34D09">
        <w:rPr>
          <w:rFonts w:ascii="Arial" w:hAnsi="Arial" w:cs="Arial"/>
          <w:b/>
          <w:color w:val="0070C0"/>
          <w:sz w:val="24"/>
          <w:szCs w:val="24"/>
        </w:rPr>
        <w:t>71 were partially damaged</w:t>
      </w:r>
      <w:r w:rsidRPr="00D34D09">
        <w:rPr>
          <w:rFonts w:ascii="Arial" w:hAnsi="Arial" w:cs="Arial"/>
          <w:color w:val="0070C0"/>
          <w:sz w:val="24"/>
          <w:szCs w:val="24"/>
        </w:rPr>
        <w:t xml:space="preserve"> </w:t>
      </w:r>
      <w:r w:rsidRPr="00D34D09">
        <w:rPr>
          <w:rFonts w:ascii="Arial" w:hAnsi="Arial" w:cs="Arial"/>
          <w:sz w:val="24"/>
          <w:szCs w:val="24"/>
        </w:rPr>
        <w:t xml:space="preserve">(see Table </w:t>
      </w:r>
      <w:r w:rsidR="003B4012">
        <w:rPr>
          <w:rFonts w:ascii="Arial" w:hAnsi="Arial" w:cs="Arial"/>
          <w:sz w:val="24"/>
          <w:szCs w:val="24"/>
        </w:rPr>
        <w:t>4</w:t>
      </w:r>
      <w:r w:rsidRPr="00D34D09">
        <w:rPr>
          <w:rFonts w:ascii="Arial" w:hAnsi="Arial" w:cs="Arial"/>
          <w:sz w:val="24"/>
          <w:szCs w:val="24"/>
        </w:rPr>
        <w:t>).</w:t>
      </w:r>
    </w:p>
    <w:p w14:paraId="54C890ED" w14:textId="0E7ACCDA" w:rsidR="00D34D09" w:rsidRPr="00D34D09" w:rsidRDefault="00D34D09" w:rsidP="00D34D09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38"/>
        <w:gridCol w:w="1558"/>
        <w:gridCol w:w="1420"/>
        <w:gridCol w:w="1377"/>
      </w:tblGrid>
      <w:tr w:rsidR="00D34D09" w:rsidRPr="00D34D09" w14:paraId="49A96027" w14:textId="77777777" w:rsidTr="00D34D09">
        <w:trPr>
          <w:trHeight w:val="20"/>
        </w:trPr>
        <w:tc>
          <w:tcPr>
            <w:tcW w:w="2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7E88F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1A811" w14:textId="65C16361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34D09" w:rsidRPr="00D34D09" w14:paraId="2658F8FF" w14:textId="77777777" w:rsidTr="00D34D09">
        <w:trPr>
          <w:trHeight w:val="20"/>
        </w:trPr>
        <w:tc>
          <w:tcPr>
            <w:tcW w:w="2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A74A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6A7E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4ED9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A3F6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34D09" w:rsidRPr="00D34D09" w14:paraId="60935E75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71A9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F57AE" w14:textId="74D52718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38EA6" w14:textId="350564D5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2104" w14:textId="7073DB02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1B39CAB5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9DB3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A4C9" w14:textId="42DD0553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74CE" w14:textId="2928E4DD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EF1B" w14:textId="639306DA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447ECB23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4AD0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C4DD" w14:textId="3D95F0E6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07B6" w14:textId="76049229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9826" w14:textId="07577F83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100122AE" w14:textId="77777777" w:rsidTr="00D34D0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D5AE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577D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4A19" w14:textId="4C59597F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D8C4D" w14:textId="281528AC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37B" w14:textId="261CD4FE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</w:tr>
    </w:tbl>
    <w:p w14:paraId="7A13749B" w14:textId="77777777" w:rsidR="00D34D09" w:rsidRPr="009B28CF" w:rsidRDefault="00D34D09" w:rsidP="00D34D09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7FC8C3D5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616C636" w:rsidR="003D0AEA" w:rsidRPr="009B28CF" w:rsidRDefault="00D34D09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F35540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</w:t>
            </w:r>
            <w:r w:rsidR="00983E8D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8A395A3" w:rsidR="0095060C" w:rsidRPr="009B28CF" w:rsidRDefault="00D34D09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 </w:t>
            </w:r>
            <w:r w:rsidR="00983E8D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10799812" w:rsidR="00203D98" w:rsidRPr="009B28CF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DRMD staff attended the consultation meeting </w:t>
            </w:r>
            <w:r w:rsidR="00ED73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with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LGU of Pikit and assisted the IOM </w:t>
            </w:r>
            <w:r w:rsidR="00ED73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 conduct of CCCM Crash Course to identified camp managers.</w:t>
            </w:r>
          </w:p>
          <w:p w14:paraId="2BDFEDAC" w14:textId="37329A0C" w:rsidR="0066019E" w:rsidRPr="009B28CF" w:rsidRDefault="000908DF" w:rsidP="00E60DC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DSWD-Field Office XII is in c</w:t>
            </w:r>
            <w:r w:rsidR="00AE096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lose coordination with LGU of Pikit through its MDRRMO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MSWDO for any significant updates and possible relief augmentation.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401C3CF4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340C00EC" w:rsidR="001B7B64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>Prepared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by:</w:t>
      </w:r>
    </w:p>
    <w:p w14:paraId="4B8C3DDE" w14:textId="77777777" w:rsidR="006B7A8B" w:rsidRPr="00087B58" w:rsidRDefault="006B7A8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48312C9E" w:rsidR="00B25F5C" w:rsidRPr="00087B58" w:rsidRDefault="00D34D09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Pr="00087B58" w:rsidRDefault="00A949BE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3C61A3C7" w:rsidR="00470FE4" w:rsidRPr="00087B58" w:rsidRDefault="00D34D09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A115F10" w14:textId="77777777" w:rsidR="00584FCB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8B54" w14:textId="77777777" w:rsidR="0069062A" w:rsidRDefault="0069062A">
      <w:pPr>
        <w:spacing w:after="0" w:line="240" w:lineRule="auto"/>
      </w:pPr>
      <w:r>
        <w:separator/>
      </w:r>
    </w:p>
  </w:endnote>
  <w:endnote w:type="continuationSeparator" w:id="0">
    <w:p w14:paraId="2F775E8D" w14:textId="77777777" w:rsidR="0069062A" w:rsidRDefault="0069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C911442" w:rsidR="00470FE4" w:rsidRPr="006404CC" w:rsidRDefault="00FC54C7" w:rsidP="00CA273C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9E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9E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A273C" w:rsidRPr="00CA273C">
      <w:rPr>
        <w:rFonts w:ascii="Arial" w:hAnsi="Arial" w:cs="Arial"/>
        <w:sz w:val="14"/>
        <w:szCs w:val="16"/>
      </w:rPr>
      <w:t>DSWD DROMIC Report #</w:t>
    </w:r>
    <w:r w:rsidR="009363AB">
      <w:rPr>
        <w:rFonts w:ascii="Arial" w:hAnsi="Arial" w:cs="Arial"/>
        <w:sz w:val="14"/>
        <w:szCs w:val="16"/>
      </w:rPr>
      <w:t>4</w:t>
    </w:r>
    <w:r w:rsidR="00CA273C" w:rsidRPr="00CA273C">
      <w:rPr>
        <w:rFonts w:ascii="Arial" w:hAnsi="Arial" w:cs="Arial"/>
        <w:sz w:val="14"/>
        <w:szCs w:val="16"/>
      </w:rPr>
      <w:t xml:space="preserve"> on the Armed Conflict in Pikit, North Cotabato</w:t>
    </w:r>
    <w:r w:rsidR="00CA273C">
      <w:rPr>
        <w:rFonts w:ascii="Arial" w:hAnsi="Arial" w:cs="Arial"/>
        <w:sz w:val="14"/>
        <w:szCs w:val="16"/>
      </w:rPr>
      <w:t xml:space="preserve"> </w:t>
    </w:r>
    <w:r w:rsidR="00CA273C" w:rsidRPr="00CA273C">
      <w:rPr>
        <w:rFonts w:ascii="Arial" w:hAnsi="Arial" w:cs="Arial"/>
        <w:sz w:val="14"/>
        <w:szCs w:val="16"/>
      </w:rPr>
      <w:t xml:space="preserve">as of </w:t>
    </w:r>
    <w:r w:rsidR="009363AB">
      <w:rPr>
        <w:rFonts w:ascii="Arial" w:hAnsi="Arial" w:cs="Arial"/>
        <w:sz w:val="14"/>
        <w:szCs w:val="16"/>
      </w:rPr>
      <w:t>3</w:t>
    </w:r>
    <w:r w:rsidR="00F35540">
      <w:rPr>
        <w:rFonts w:ascii="Arial" w:hAnsi="Arial" w:cs="Arial"/>
        <w:sz w:val="14"/>
        <w:szCs w:val="16"/>
      </w:rPr>
      <w:t>1</w:t>
    </w:r>
    <w:r w:rsidR="00CA273C" w:rsidRPr="00CA273C">
      <w:rPr>
        <w:rFonts w:ascii="Arial" w:hAnsi="Arial" w:cs="Arial"/>
        <w:sz w:val="14"/>
        <w:szCs w:val="16"/>
      </w:rPr>
      <w:t xml:space="preserve"> July 2020, </w:t>
    </w:r>
    <w:r w:rsidR="009363AB">
      <w:rPr>
        <w:rFonts w:ascii="Arial" w:hAnsi="Arial" w:cs="Arial"/>
        <w:sz w:val="14"/>
        <w:szCs w:val="16"/>
      </w:rPr>
      <w:t>4</w:t>
    </w:r>
    <w:r w:rsidR="00CA273C" w:rsidRPr="00CA273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346A" w14:textId="77777777" w:rsidR="0069062A" w:rsidRDefault="0069062A">
      <w:pPr>
        <w:spacing w:after="0" w:line="240" w:lineRule="auto"/>
      </w:pPr>
      <w:r>
        <w:separator/>
      </w:r>
    </w:p>
  </w:footnote>
  <w:footnote w:type="continuationSeparator" w:id="0">
    <w:p w14:paraId="58001735" w14:textId="77777777" w:rsidR="0069062A" w:rsidRDefault="0069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1760E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F240-42D2-417A-986B-3E098CA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2020-07-31T06:25:00Z</dcterms:created>
  <dcterms:modified xsi:type="dcterms:W3CDTF">2020-07-31T06:25:00Z</dcterms:modified>
</cp:coreProperties>
</file>