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3EC987" w14:textId="5C250E92" w:rsidR="00453438" w:rsidRPr="00087B58" w:rsidRDefault="00557C5F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9743A1">
        <w:rPr>
          <w:rFonts w:ascii="Arial" w:eastAsia="Arial" w:hAnsi="Arial" w:cs="Arial"/>
          <w:b/>
          <w:sz w:val="32"/>
          <w:szCs w:val="32"/>
        </w:rPr>
        <w:t>5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7E08B8BE" w14:textId="70BF3AEE" w:rsidR="00F04638" w:rsidRPr="00087B58" w:rsidRDefault="006A3670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Armed Conflict</w:t>
      </w:r>
      <w:r w:rsidR="000908DF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A6CEC" w:rsidRPr="00087B58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0908DF" w:rsidRPr="00087B58">
        <w:rPr>
          <w:rFonts w:ascii="Arial" w:eastAsia="Arial" w:hAnsi="Arial" w:cs="Arial"/>
          <w:b/>
          <w:sz w:val="32"/>
          <w:szCs w:val="32"/>
        </w:rPr>
        <w:t>Pikit</w:t>
      </w:r>
      <w:proofErr w:type="spellEnd"/>
      <w:r w:rsidR="000908DF" w:rsidRPr="00087B58">
        <w:rPr>
          <w:rFonts w:ascii="Arial" w:eastAsia="Arial" w:hAnsi="Arial" w:cs="Arial"/>
          <w:b/>
          <w:sz w:val="32"/>
          <w:szCs w:val="32"/>
        </w:rPr>
        <w:t xml:space="preserve">, 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>North Cotabato</w:t>
      </w:r>
    </w:p>
    <w:p w14:paraId="150B165C" w14:textId="34A82229" w:rsidR="00E94313" w:rsidRPr="00087B58" w:rsidRDefault="00D26E8D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9743A1">
        <w:rPr>
          <w:rFonts w:ascii="Arial" w:eastAsia="Arial" w:hAnsi="Arial" w:cs="Arial"/>
          <w:sz w:val="24"/>
          <w:szCs w:val="24"/>
        </w:rPr>
        <w:t>23</w:t>
      </w:r>
      <w:r w:rsidR="00B12799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9743A1">
        <w:rPr>
          <w:rFonts w:ascii="Arial" w:eastAsia="Arial" w:hAnsi="Arial" w:cs="Arial"/>
          <w:sz w:val="24"/>
          <w:szCs w:val="24"/>
        </w:rPr>
        <w:t>September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sz w:val="24"/>
          <w:szCs w:val="24"/>
        </w:rPr>
        <w:t>2020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9363AB">
        <w:rPr>
          <w:rFonts w:ascii="Arial" w:eastAsia="Arial" w:hAnsi="Arial" w:cs="Arial"/>
          <w:sz w:val="24"/>
          <w:szCs w:val="24"/>
        </w:rPr>
        <w:t>4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087B58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D7465E" w14:textId="39058A3A" w:rsidR="005734ED" w:rsidRPr="00087B58" w:rsidRDefault="00C670C1" w:rsidP="00F3554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216DC" w:rsidRPr="00087B58">
        <w:rPr>
          <w:rFonts w:ascii="Arial" w:eastAsia="Arial" w:hAnsi="Arial" w:cs="Arial"/>
          <w:color w:val="000000" w:themeColor="text1"/>
          <w:sz w:val="24"/>
          <w:szCs w:val="24"/>
        </w:rPr>
        <w:t>07</w:t>
      </w:r>
      <w:r w:rsidR="00E94313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216DC" w:rsidRPr="00087B58">
        <w:rPr>
          <w:rFonts w:ascii="Arial" w:eastAsia="Arial" w:hAnsi="Arial" w:cs="Arial"/>
          <w:color w:val="000000" w:themeColor="text1"/>
          <w:sz w:val="24"/>
          <w:szCs w:val="24"/>
        </w:rPr>
        <w:t>June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color w:val="000000" w:themeColor="text1"/>
          <w:sz w:val="24"/>
          <w:szCs w:val="24"/>
        </w:rPr>
        <w:t>2020</w:t>
      </w: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207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an armed conflict transpired </w:t>
      </w:r>
      <w:r w:rsidR="00A216DC" w:rsidRPr="00087B58">
        <w:rPr>
          <w:rFonts w:ascii="Arial" w:eastAsia="Arial" w:hAnsi="Arial" w:cs="Arial"/>
          <w:color w:val="000000" w:themeColor="text1"/>
          <w:sz w:val="24"/>
          <w:szCs w:val="24"/>
        </w:rPr>
        <w:t>among unidentified armed groups</w:t>
      </w:r>
      <w:r w:rsidR="00367207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216DC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in </w:t>
      </w:r>
      <w:r w:rsidR="00E7126D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Barangays </w:t>
      </w:r>
      <w:proofErr w:type="spellStart"/>
      <w:r w:rsidR="00A216DC" w:rsidRPr="00087B58">
        <w:rPr>
          <w:rFonts w:ascii="Arial" w:eastAsia="Arial" w:hAnsi="Arial" w:cs="Arial"/>
          <w:color w:val="000000" w:themeColor="text1"/>
          <w:sz w:val="24"/>
          <w:szCs w:val="24"/>
        </w:rPr>
        <w:t>Rajamuda</w:t>
      </w:r>
      <w:proofErr w:type="spellEnd"/>
      <w:r w:rsidR="00A216DC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A216DC" w:rsidRPr="00087B58">
        <w:rPr>
          <w:rFonts w:ascii="Arial" w:eastAsia="Arial" w:hAnsi="Arial" w:cs="Arial"/>
          <w:color w:val="000000" w:themeColor="text1"/>
          <w:sz w:val="24"/>
          <w:szCs w:val="24"/>
        </w:rPr>
        <w:t>Talita</w:t>
      </w:r>
      <w:r w:rsidR="00C9334D">
        <w:rPr>
          <w:rFonts w:ascii="Arial" w:eastAsia="Arial" w:hAnsi="Arial" w:cs="Arial"/>
          <w:color w:val="000000" w:themeColor="text1"/>
          <w:sz w:val="24"/>
          <w:szCs w:val="24"/>
        </w:rPr>
        <w:t>y</w:t>
      </w:r>
      <w:proofErr w:type="spellEnd"/>
      <w:r w:rsidR="00A216DC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A216DC" w:rsidRPr="00087B58">
        <w:rPr>
          <w:rFonts w:ascii="Arial" w:eastAsia="Arial" w:hAnsi="Arial" w:cs="Arial"/>
          <w:color w:val="000000" w:themeColor="text1"/>
          <w:sz w:val="24"/>
          <w:szCs w:val="24"/>
        </w:rPr>
        <w:t>Bulol</w:t>
      </w:r>
      <w:proofErr w:type="spellEnd"/>
      <w:r w:rsidR="00A216DC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and </w:t>
      </w:r>
      <w:proofErr w:type="spellStart"/>
      <w:r w:rsidR="00A216DC" w:rsidRPr="00087B58">
        <w:rPr>
          <w:rFonts w:ascii="Arial" w:eastAsia="Arial" w:hAnsi="Arial" w:cs="Arial"/>
          <w:color w:val="000000" w:themeColor="text1"/>
          <w:sz w:val="24"/>
          <w:szCs w:val="24"/>
        </w:rPr>
        <w:t>Bulod</w:t>
      </w:r>
      <w:proofErr w:type="spellEnd"/>
      <w:r w:rsidR="00A216DC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in </w:t>
      </w:r>
      <w:proofErr w:type="spellStart"/>
      <w:r w:rsidR="00A216DC" w:rsidRPr="00087B58">
        <w:rPr>
          <w:rFonts w:ascii="Arial" w:eastAsia="Arial" w:hAnsi="Arial" w:cs="Arial"/>
          <w:color w:val="000000" w:themeColor="text1"/>
          <w:sz w:val="24"/>
          <w:szCs w:val="24"/>
        </w:rPr>
        <w:t>Pikit</w:t>
      </w:r>
      <w:proofErr w:type="spellEnd"/>
      <w:r w:rsidR="00A216DC" w:rsidRPr="00087B58">
        <w:rPr>
          <w:rFonts w:ascii="Arial" w:eastAsia="Arial" w:hAnsi="Arial" w:cs="Arial"/>
          <w:color w:val="000000" w:themeColor="text1"/>
          <w:sz w:val="24"/>
          <w:szCs w:val="24"/>
        </w:rPr>
        <w:t>, North Cotabato</w:t>
      </w:r>
      <w:r w:rsidR="005734ED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which resulted to t</w:t>
      </w:r>
      <w:r w:rsidR="00131888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he displacement of </w:t>
      </w:r>
      <w:r w:rsidR="005734ED" w:rsidRPr="00087B58">
        <w:rPr>
          <w:rFonts w:ascii="Arial" w:eastAsia="Arial" w:hAnsi="Arial" w:cs="Arial"/>
          <w:color w:val="000000" w:themeColor="text1"/>
          <w:sz w:val="24"/>
          <w:szCs w:val="24"/>
        </w:rPr>
        <w:t>families</w:t>
      </w:r>
      <w:r w:rsidR="00131888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in the area</w:t>
      </w:r>
      <w:r w:rsidR="005734ED" w:rsidRPr="00087B58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0C96463D" w14:textId="024227D0" w:rsidR="00F35540" w:rsidRPr="00087B58" w:rsidRDefault="00AE4967" w:rsidP="00F35540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70B8C" w:rsidRPr="00087B58">
        <w:rPr>
          <w:rFonts w:ascii="Arial" w:eastAsia="Arial" w:hAnsi="Arial" w:cs="Arial"/>
          <w:i/>
          <w:color w:val="0070C0"/>
          <w:sz w:val="16"/>
          <w:szCs w:val="16"/>
        </w:rPr>
        <w:t>XI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I</w:t>
      </w:r>
      <w:bookmarkStart w:id="1" w:name="_30j0zll" w:colFirst="0" w:colLast="0"/>
      <w:bookmarkEnd w:id="1"/>
    </w:p>
    <w:p w14:paraId="3EFDFE0D" w14:textId="77777777" w:rsidR="00F35540" w:rsidRPr="00087B5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20E9778D" w:rsidR="00470FE4" w:rsidRPr="00087B58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87B5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57050" w:rsidRPr="00087B58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AA6CEC" w:rsidRPr="00087B58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957050" w:rsidRPr="00087B58">
        <w:rPr>
          <w:rFonts w:ascii="Arial" w:eastAsia="Arial" w:hAnsi="Arial" w:cs="Arial"/>
          <w:b/>
          <w:color w:val="auto"/>
          <w:sz w:val="24"/>
          <w:szCs w:val="24"/>
        </w:rPr>
        <w:t>257</w:t>
      </w:r>
      <w:r w:rsidR="00AA6CEC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A273C" w:rsidRPr="00087B58">
        <w:rPr>
          <w:rFonts w:ascii="Arial" w:eastAsia="Arial" w:hAnsi="Arial" w:cs="Arial"/>
          <w:b/>
          <w:color w:val="auto"/>
          <w:sz w:val="24"/>
          <w:szCs w:val="24"/>
        </w:rPr>
        <w:t>11</w:t>
      </w:r>
      <w:r w:rsidR="00AA6CEC" w:rsidRPr="00087B58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957050" w:rsidRPr="00087B58">
        <w:rPr>
          <w:rFonts w:ascii="Arial" w:eastAsia="Arial" w:hAnsi="Arial" w:cs="Arial"/>
          <w:b/>
          <w:color w:val="auto"/>
          <w:sz w:val="24"/>
          <w:szCs w:val="24"/>
        </w:rPr>
        <w:t>73</w:t>
      </w:r>
      <w:r w:rsidR="0075109A" w:rsidRPr="00087B58">
        <w:rPr>
          <w:rFonts w:ascii="Arial" w:eastAsia="Arial" w:hAnsi="Arial" w:cs="Arial"/>
          <w:b/>
          <w:color w:val="auto"/>
          <w:sz w:val="24"/>
          <w:szCs w:val="24"/>
        </w:rPr>
        <w:t>0</w:t>
      </w:r>
      <w:r w:rsidR="00AA6CEC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D156C" w:rsidRPr="00087B58">
        <w:rPr>
          <w:rFonts w:ascii="Arial" w:eastAsia="Arial" w:hAnsi="Arial" w:cs="Arial"/>
          <w:color w:val="auto"/>
          <w:sz w:val="24"/>
          <w:szCs w:val="24"/>
        </w:rPr>
        <w:t xml:space="preserve">by the armed conflict </w:t>
      </w:r>
      <w:r w:rsidR="0074289B" w:rsidRPr="00087B5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04638" w:rsidRPr="00087B58">
        <w:rPr>
          <w:rFonts w:ascii="Arial" w:eastAsia="Arial" w:hAnsi="Arial" w:cs="Arial"/>
          <w:b/>
          <w:color w:val="auto"/>
          <w:sz w:val="24"/>
          <w:szCs w:val="24"/>
        </w:rPr>
        <w:t>4</w:t>
      </w:r>
      <w:r w:rsidR="004C0ABF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barangays </w:t>
      </w:r>
      <w:r w:rsidR="004C0ABF" w:rsidRPr="00087B58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F04638" w:rsidRPr="00087B58">
        <w:rPr>
          <w:rFonts w:ascii="Arial" w:eastAsia="Arial" w:hAnsi="Arial" w:cs="Arial"/>
          <w:b/>
          <w:color w:val="auto"/>
          <w:sz w:val="24"/>
          <w:szCs w:val="24"/>
        </w:rPr>
        <w:t>Pikit</w:t>
      </w:r>
      <w:proofErr w:type="spellEnd"/>
      <w:r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, North Cotabato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087B5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87B5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4317"/>
        <w:gridCol w:w="1644"/>
        <w:gridCol w:w="1533"/>
        <w:gridCol w:w="1534"/>
      </w:tblGrid>
      <w:tr w:rsidR="00957050" w:rsidRPr="00087B58" w14:paraId="4986CA45" w14:textId="77777777" w:rsidTr="00957050">
        <w:trPr>
          <w:trHeight w:val="20"/>
        </w:trPr>
        <w:tc>
          <w:tcPr>
            <w:tcW w:w="24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458E42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6F7921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57050" w:rsidRPr="00087B58" w14:paraId="4663BCC4" w14:textId="77777777" w:rsidTr="00957050">
        <w:trPr>
          <w:trHeight w:val="20"/>
        </w:trPr>
        <w:tc>
          <w:tcPr>
            <w:tcW w:w="24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25177B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02B06A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36872F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ECE427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57050" w:rsidRPr="00087B58" w14:paraId="6931F1D6" w14:textId="77777777" w:rsidTr="0095705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302E7E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7473A3" w14:textId="436E4E02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850238" w14:textId="2470D9CE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3,257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B2D531" w14:textId="7BA41A01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11,730 </w:t>
            </w:r>
          </w:p>
        </w:tc>
      </w:tr>
      <w:tr w:rsidR="00957050" w:rsidRPr="00087B58" w14:paraId="4026B84A" w14:textId="77777777" w:rsidTr="0095705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177DD4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42F4BF" w14:textId="37173299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B42F35" w14:textId="34F5FC30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3,257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83ECC8" w14:textId="058FC56B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11,730 </w:t>
            </w:r>
          </w:p>
        </w:tc>
      </w:tr>
      <w:tr w:rsidR="00957050" w:rsidRPr="00087B58" w14:paraId="27D881C4" w14:textId="77777777" w:rsidTr="00957050">
        <w:trPr>
          <w:trHeight w:val="20"/>
        </w:trPr>
        <w:tc>
          <w:tcPr>
            <w:tcW w:w="2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78B9D0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7D2C9E" w14:textId="77EDBC6D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256AE2" w14:textId="27307838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3,257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8256DE" w14:textId="3AB65FD1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11,730 </w:t>
            </w:r>
          </w:p>
        </w:tc>
      </w:tr>
      <w:tr w:rsidR="00957050" w:rsidRPr="00087B58" w14:paraId="6A00CC87" w14:textId="77777777" w:rsidTr="0095705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6FD77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6A017" w14:textId="77777777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84E60" w14:textId="395192F5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37F4E" w14:textId="776024E5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3,257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7C9A7" w14:textId="0D2E5B70" w:rsidR="00957050" w:rsidRPr="00087B58" w:rsidRDefault="00957050" w:rsidP="007D577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87B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11,730 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641C368E" w14:textId="2A949AD1" w:rsidR="000908DF" w:rsidRPr="00087B58" w:rsidRDefault="005930E9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22040A10" w14:textId="77777777" w:rsidR="00F35540" w:rsidRPr="00087B58" w:rsidRDefault="00F35540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137BA9D" w14:textId="1DC68655" w:rsidR="005318D3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1FF0B00" w14:textId="77777777" w:rsidR="00E04AE5" w:rsidRPr="00087B58" w:rsidRDefault="005318D3" w:rsidP="00AE096E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Center</w:t>
      </w:r>
    </w:p>
    <w:p w14:paraId="1055E368" w14:textId="6E3D5AE5" w:rsidR="00E04AE5" w:rsidRPr="009363AB" w:rsidRDefault="00EB153B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9363A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9363A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9363A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AA6CEC" w:rsidRPr="009363A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9743A1" w:rsidRPr="009743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</w:t>
      </w:r>
      <w:r w:rsidR="00F35540" w:rsidRPr="009743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9743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9743A1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9743A1" w:rsidRPr="009743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21</w:t>
      </w:r>
      <w:r w:rsidR="00F35540" w:rsidRPr="009743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9743A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9743A1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74289B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E096E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B37C57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Inug</w:t>
      </w:r>
      <w:proofErr w:type="spellEnd"/>
      <w:r w:rsidR="00B37C57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-ug Elementary School </w:t>
      </w:r>
      <w:r w:rsidR="00C16747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proofErr w:type="spellStart"/>
      <w:r w:rsidR="00162C7C" w:rsidRPr="009363AB">
        <w:rPr>
          <w:rFonts w:ascii="Arial" w:eastAsia="Arial" w:hAnsi="Arial" w:cs="Arial"/>
          <w:b/>
          <w:color w:val="auto"/>
          <w:sz w:val="24"/>
          <w:szCs w:val="24"/>
        </w:rPr>
        <w:t>Pikit</w:t>
      </w:r>
      <w:proofErr w:type="spellEnd"/>
      <w:r w:rsidR="0023610A" w:rsidRPr="009363AB">
        <w:rPr>
          <w:rFonts w:ascii="Arial" w:eastAsia="Arial" w:hAnsi="Arial" w:cs="Arial"/>
          <w:b/>
          <w:color w:val="auto"/>
          <w:sz w:val="24"/>
          <w:szCs w:val="24"/>
        </w:rPr>
        <w:t xml:space="preserve">, North Cotabato </w:t>
      </w:r>
      <w:r w:rsidR="00C71101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9363AB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9363AB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77777777" w:rsidR="00C71101" w:rsidRPr="00087B58" w:rsidRDefault="006265AF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3400"/>
        <w:gridCol w:w="991"/>
        <w:gridCol w:w="848"/>
        <w:gridCol w:w="992"/>
        <w:gridCol w:w="708"/>
        <w:gridCol w:w="991"/>
        <w:gridCol w:w="815"/>
      </w:tblGrid>
      <w:tr w:rsidR="009743A1" w:rsidRPr="009743A1" w14:paraId="3148C319" w14:textId="77777777" w:rsidTr="009743A1">
        <w:trPr>
          <w:trHeight w:val="20"/>
        </w:trPr>
        <w:tc>
          <w:tcPr>
            <w:tcW w:w="19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CF334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AFC97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8F981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9743A1" w:rsidRPr="009743A1" w14:paraId="26D880AB" w14:textId="77777777" w:rsidTr="009743A1">
        <w:trPr>
          <w:trHeight w:val="20"/>
        </w:trPr>
        <w:tc>
          <w:tcPr>
            <w:tcW w:w="19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6C06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0921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D26DC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743A1" w:rsidRPr="009743A1" w14:paraId="24FEA5D3" w14:textId="77777777" w:rsidTr="009743A1">
        <w:trPr>
          <w:trHeight w:val="20"/>
        </w:trPr>
        <w:tc>
          <w:tcPr>
            <w:tcW w:w="19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E32E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4B5C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BAE43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90FC3" w14:textId="5E9DC05B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43A1" w:rsidRPr="009743A1" w14:paraId="5212BE32" w14:textId="77777777" w:rsidTr="009743A1">
        <w:trPr>
          <w:trHeight w:val="20"/>
        </w:trPr>
        <w:tc>
          <w:tcPr>
            <w:tcW w:w="19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5E67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E6B96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22EFC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15D0D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B9DF4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7787F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69EB0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743A1" w:rsidRPr="009743A1" w14:paraId="1DC70F96" w14:textId="77777777" w:rsidTr="009743A1">
        <w:trPr>
          <w:trHeight w:val="20"/>
        </w:trPr>
        <w:tc>
          <w:tcPr>
            <w:tcW w:w="19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D5FD5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239E7" w14:textId="17E9583C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456B9" w14:textId="7A66A5E8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F97CD" w14:textId="2E5ACA58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1,376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F6DD7" w14:textId="7615E84A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586D4" w14:textId="3E97A083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4,751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255EB" w14:textId="113693EC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</w:tr>
      <w:tr w:rsidR="009743A1" w:rsidRPr="009743A1" w14:paraId="74015C46" w14:textId="77777777" w:rsidTr="009743A1">
        <w:trPr>
          <w:trHeight w:val="20"/>
        </w:trPr>
        <w:tc>
          <w:tcPr>
            <w:tcW w:w="1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DA0AA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99C49" w14:textId="25AD668F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D602D" w14:textId="24BC1BAE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F9F61" w14:textId="1F1023C9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1,376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1F7A0" w14:textId="7D4652BE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56F1E" w14:textId="706E2385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4,751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4C25E" w14:textId="2E8589C8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</w:tr>
      <w:tr w:rsidR="009743A1" w:rsidRPr="009743A1" w14:paraId="6963A298" w14:textId="77777777" w:rsidTr="009743A1">
        <w:trPr>
          <w:trHeight w:val="20"/>
        </w:trPr>
        <w:tc>
          <w:tcPr>
            <w:tcW w:w="19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DD83F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DDB9B" w14:textId="61F97792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E8062" w14:textId="32627B98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FF67D" w14:textId="4DC1A3EF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1,376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FC671" w14:textId="56373DDE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CBD42" w14:textId="09A47C4A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4,751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56F81" w14:textId="026E070D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 </w:t>
            </w:r>
          </w:p>
        </w:tc>
      </w:tr>
      <w:tr w:rsidR="009743A1" w:rsidRPr="009743A1" w14:paraId="24201426" w14:textId="77777777" w:rsidTr="009743A1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18F71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89CF1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9C0E8" w14:textId="209636DF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A9220" w14:textId="2C6D0B82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48342" w14:textId="3BB96D91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1,376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C4635" w14:textId="08EBC90A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E20D2" w14:textId="440DC74A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4,751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DC94A" w14:textId="4EF941E6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</w:tr>
    </w:tbl>
    <w:p w14:paraId="0CF61243" w14:textId="0CAA2621" w:rsidR="002D1B51" w:rsidRPr="00087B58" w:rsidRDefault="002D1B51" w:rsidP="009743A1">
      <w:pPr>
        <w:spacing w:after="0" w:line="240" w:lineRule="auto"/>
        <w:ind w:firstLine="910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FF12418" w14:textId="3AFF8854" w:rsidR="00F35540" w:rsidRPr="00087B58" w:rsidRDefault="00875F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781DCC4A" w14:textId="77777777" w:rsidR="00F35540" w:rsidRPr="00087B58" w:rsidRDefault="00F35540" w:rsidP="00F35540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7020B20" w14:textId="0BE0ADB9" w:rsidR="00E04AE5" w:rsidRPr="00087B58" w:rsidRDefault="005318D3" w:rsidP="00AE096E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3471A25E" w14:textId="2C9F7B23" w:rsidR="005318D3" w:rsidRPr="009363AB" w:rsidRDefault="005318D3" w:rsidP="00AE09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9363AB">
        <w:rPr>
          <w:rFonts w:ascii="Arial" w:eastAsia="Arial" w:hAnsi="Arial" w:cs="Arial"/>
          <w:color w:val="auto"/>
          <w:sz w:val="24"/>
          <w:szCs w:val="24"/>
        </w:rPr>
        <w:t>There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are</w:t>
      </w:r>
      <w:r w:rsidR="00F35540" w:rsidRPr="009363A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743A1" w:rsidRPr="009743A1">
        <w:rPr>
          <w:rFonts w:ascii="Arial" w:eastAsia="Arial" w:hAnsi="Arial" w:cs="Arial"/>
          <w:b/>
          <w:color w:val="0070C0"/>
          <w:sz w:val="24"/>
          <w:szCs w:val="24"/>
        </w:rPr>
        <w:t>195</w:t>
      </w:r>
      <w:r w:rsidR="00F35540" w:rsidRPr="009743A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43A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9743A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743A1" w:rsidRPr="009743A1">
        <w:rPr>
          <w:rFonts w:ascii="Arial" w:eastAsia="Arial" w:hAnsi="Arial" w:cs="Arial"/>
          <w:b/>
          <w:color w:val="0070C0"/>
          <w:sz w:val="24"/>
          <w:szCs w:val="24"/>
        </w:rPr>
        <w:t>682</w:t>
      </w:r>
      <w:r w:rsidR="00F35540" w:rsidRPr="009743A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43A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9743A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16747" w:rsidRPr="009363AB">
        <w:rPr>
          <w:rFonts w:ascii="Arial" w:eastAsia="Arial" w:hAnsi="Arial" w:cs="Arial"/>
          <w:color w:val="auto"/>
          <w:sz w:val="24"/>
          <w:szCs w:val="24"/>
        </w:rPr>
        <w:t>t</w:t>
      </w:r>
      <w:r w:rsidRPr="009363AB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staying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9363AB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9363AB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9363A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363AB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066EBE87" w14:textId="77777777" w:rsidR="005318D3" w:rsidRPr="00087B58" w:rsidRDefault="005318D3" w:rsidP="00AE096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18FF45E" w14:textId="77777777" w:rsidR="005318D3" w:rsidRPr="00116C4D" w:rsidRDefault="005318D3" w:rsidP="00AE096E">
      <w:pP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3.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Number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of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Displaced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Families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/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Persons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Outside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Evacuation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Center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46"/>
        <w:gridCol w:w="975"/>
        <w:gridCol w:w="1026"/>
        <w:gridCol w:w="975"/>
        <w:gridCol w:w="1026"/>
      </w:tblGrid>
      <w:tr w:rsidR="009743A1" w:rsidRPr="009743A1" w14:paraId="05800B86" w14:textId="77777777" w:rsidTr="009743A1">
        <w:trPr>
          <w:trHeight w:val="20"/>
          <w:tblHeader/>
        </w:trPr>
        <w:tc>
          <w:tcPr>
            <w:tcW w:w="27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7534C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51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383B1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9743A1" w:rsidRPr="009743A1" w14:paraId="3CC8D059" w14:textId="77777777" w:rsidTr="009743A1">
        <w:trPr>
          <w:trHeight w:val="20"/>
          <w:tblHeader/>
        </w:trPr>
        <w:tc>
          <w:tcPr>
            <w:tcW w:w="27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46CEA7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28E45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743A1" w:rsidRPr="009743A1" w14:paraId="5C72EA78" w14:textId="77777777" w:rsidTr="009743A1">
        <w:trPr>
          <w:trHeight w:val="20"/>
          <w:tblHeader/>
        </w:trPr>
        <w:tc>
          <w:tcPr>
            <w:tcW w:w="27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EEDB3A8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21F42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2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5D7C1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743A1" w:rsidRPr="009743A1" w14:paraId="609424BC" w14:textId="77777777" w:rsidTr="009743A1">
        <w:trPr>
          <w:trHeight w:val="20"/>
          <w:tblHeader/>
        </w:trPr>
        <w:tc>
          <w:tcPr>
            <w:tcW w:w="27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F99DF86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10108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15238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BFEAA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5B52C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743A1" w:rsidRPr="009743A1" w14:paraId="6501A227" w14:textId="77777777" w:rsidTr="009743A1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4782D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30123" w14:textId="0F2A9F9A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1,881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F4453" w14:textId="7FA5E39B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195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D0F39" w14:textId="2921DED7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6,979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DED33" w14:textId="7B0475BD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682 </w:t>
            </w:r>
          </w:p>
        </w:tc>
      </w:tr>
      <w:tr w:rsidR="009743A1" w:rsidRPr="009743A1" w14:paraId="1B7946AB" w14:textId="77777777" w:rsidTr="009743A1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6B033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25BF0" w14:textId="47C5E272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1,881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DBDA3" w14:textId="26F1E6F0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195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0D993" w14:textId="261465F9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6,979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7C18F" w14:textId="7F923159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682 </w:t>
            </w:r>
          </w:p>
        </w:tc>
      </w:tr>
      <w:tr w:rsidR="009743A1" w:rsidRPr="009743A1" w14:paraId="0E60BA41" w14:textId="77777777" w:rsidTr="009743A1">
        <w:trPr>
          <w:trHeight w:val="20"/>
        </w:trPr>
        <w:tc>
          <w:tcPr>
            <w:tcW w:w="2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8DF0C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North Cotabato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1896F" w14:textId="1710E53C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1,881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21209" w14:textId="2F025382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195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AAB47" w14:textId="3398F71B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6,979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9A2A1" w14:textId="4136ED7F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682 </w:t>
            </w:r>
          </w:p>
        </w:tc>
      </w:tr>
      <w:tr w:rsidR="009743A1" w:rsidRPr="009743A1" w14:paraId="7E18730E" w14:textId="77777777" w:rsidTr="009743A1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61932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154E0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1FAAE" w14:textId="5A7D81A2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1,881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AAEDD" w14:textId="0674C299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195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34355" w14:textId="781479AE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6,979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ACEB3" w14:textId="49AA9130" w:rsidR="009743A1" w:rsidRPr="009743A1" w:rsidRDefault="009743A1" w:rsidP="009743A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682 </w:t>
            </w:r>
          </w:p>
        </w:tc>
      </w:tr>
    </w:tbl>
    <w:p w14:paraId="4EA3364A" w14:textId="77777777" w:rsidR="00890200" w:rsidRPr="009B28CF" w:rsidRDefault="005318D3" w:rsidP="00AE096E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>Note:</w:t>
      </w:r>
      <w:r w:rsidR="00E04AE5"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66273F" w:rsidRPr="009B28CF">
        <w:rPr>
          <w:rFonts w:ascii="Arial" w:hAnsi="Arial" w:cs="Arial"/>
          <w:bCs/>
          <w:i/>
          <w:sz w:val="16"/>
          <w:szCs w:val="16"/>
          <w:lang w:val="en-PH"/>
        </w:rPr>
        <w:t>O</w:t>
      </w:r>
      <w:r w:rsidR="00890200" w:rsidRPr="009B28CF">
        <w:rPr>
          <w:rFonts w:ascii="Arial" w:hAnsi="Arial" w:cs="Arial"/>
          <w:bCs/>
          <w:i/>
          <w:sz w:val="16"/>
          <w:szCs w:val="16"/>
          <w:lang w:val="en-PH"/>
        </w:rPr>
        <w:t>ngoing assessment and validation being conducted.</w:t>
      </w:r>
    </w:p>
    <w:p w14:paraId="2FE2444B" w14:textId="372C4CF6" w:rsidR="000A69C5" w:rsidRDefault="005318D3" w:rsidP="00AE096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23610A" w:rsidRPr="009B28CF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39915801" w14:textId="77777777" w:rsidR="00D34D09" w:rsidRPr="009B28CF" w:rsidRDefault="00D34D09" w:rsidP="00AE096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52706BF" w14:textId="256C4841" w:rsidR="00D34D09" w:rsidRPr="00D34D09" w:rsidRDefault="003B4012" w:rsidP="00D34D0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74C617E9" w:rsidR="00D34D09" w:rsidRPr="009743A1" w:rsidRDefault="00D34D09" w:rsidP="00D34D09">
      <w:pPr>
        <w:rPr>
          <w:rFonts w:ascii="Arial" w:hAnsi="Arial" w:cs="Arial"/>
          <w:color w:val="auto"/>
          <w:sz w:val="24"/>
          <w:szCs w:val="24"/>
        </w:rPr>
      </w:pPr>
      <w:r w:rsidRPr="009743A1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Pr="009743A1">
        <w:rPr>
          <w:rFonts w:ascii="Arial" w:hAnsi="Arial" w:cs="Arial"/>
          <w:b/>
          <w:color w:val="auto"/>
          <w:sz w:val="24"/>
          <w:szCs w:val="24"/>
        </w:rPr>
        <w:t>265 damaged houses</w:t>
      </w:r>
      <w:r w:rsidRPr="009743A1">
        <w:rPr>
          <w:rFonts w:ascii="Arial" w:hAnsi="Arial" w:cs="Arial"/>
          <w:color w:val="auto"/>
          <w:sz w:val="24"/>
          <w:szCs w:val="24"/>
        </w:rPr>
        <w:t xml:space="preserve">; of which, </w:t>
      </w:r>
      <w:r w:rsidRPr="009743A1">
        <w:rPr>
          <w:rFonts w:ascii="Arial" w:hAnsi="Arial" w:cs="Arial"/>
          <w:b/>
          <w:color w:val="auto"/>
          <w:sz w:val="24"/>
          <w:szCs w:val="24"/>
        </w:rPr>
        <w:t>194 were totally damaged</w:t>
      </w:r>
      <w:r w:rsidRPr="009743A1">
        <w:rPr>
          <w:rFonts w:ascii="Arial" w:hAnsi="Arial" w:cs="Arial"/>
          <w:color w:val="auto"/>
          <w:sz w:val="24"/>
          <w:szCs w:val="24"/>
        </w:rPr>
        <w:t xml:space="preserve"> and </w:t>
      </w:r>
      <w:r w:rsidRPr="009743A1">
        <w:rPr>
          <w:rFonts w:ascii="Arial" w:hAnsi="Arial" w:cs="Arial"/>
          <w:b/>
          <w:color w:val="auto"/>
          <w:sz w:val="24"/>
          <w:szCs w:val="24"/>
        </w:rPr>
        <w:t>71 were partially damaged</w:t>
      </w:r>
      <w:r w:rsidRPr="009743A1">
        <w:rPr>
          <w:rFonts w:ascii="Arial" w:hAnsi="Arial" w:cs="Arial"/>
          <w:color w:val="auto"/>
          <w:sz w:val="24"/>
          <w:szCs w:val="24"/>
        </w:rPr>
        <w:t xml:space="preserve"> (see Table </w:t>
      </w:r>
      <w:r w:rsidR="003B4012" w:rsidRPr="009743A1">
        <w:rPr>
          <w:rFonts w:ascii="Arial" w:hAnsi="Arial" w:cs="Arial"/>
          <w:color w:val="auto"/>
          <w:sz w:val="24"/>
          <w:szCs w:val="24"/>
        </w:rPr>
        <w:t>4</w:t>
      </w:r>
      <w:r w:rsidRPr="009743A1">
        <w:rPr>
          <w:rFonts w:ascii="Arial" w:hAnsi="Arial" w:cs="Arial"/>
          <w:color w:val="auto"/>
          <w:sz w:val="24"/>
          <w:szCs w:val="24"/>
        </w:rPr>
        <w:t>).</w:t>
      </w:r>
    </w:p>
    <w:p w14:paraId="54C890ED" w14:textId="0E7ACCDA" w:rsidR="00D34D09" w:rsidRPr="00D34D09" w:rsidRDefault="00D34D09" w:rsidP="00D34D09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3B401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238"/>
        <w:gridCol w:w="1558"/>
        <w:gridCol w:w="1420"/>
        <w:gridCol w:w="1377"/>
      </w:tblGrid>
      <w:tr w:rsidR="00D34D09" w:rsidRPr="00D34D09" w14:paraId="49A96027" w14:textId="77777777" w:rsidTr="00D34D09">
        <w:trPr>
          <w:trHeight w:val="20"/>
        </w:trPr>
        <w:tc>
          <w:tcPr>
            <w:tcW w:w="27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7E88F" w14:textId="77777777" w:rsidR="00D34D09" w:rsidRPr="00D34D09" w:rsidRDefault="00D34D09" w:rsidP="00D34D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1A811" w14:textId="65C16361" w:rsidR="00D34D09" w:rsidRPr="00D34D09" w:rsidRDefault="00D34D09" w:rsidP="00D34D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D34D09" w:rsidRPr="00D34D09" w14:paraId="2658F8FF" w14:textId="77777777" w:rsidTr="00D34D09">
        <w:trPr>
          <w:trHeight w:val="20"/>
        </w:trPr>
        <w:tc>
          <w:tcPr>
            <w:tcW w:w="2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A74A" w14:textId="77777777" w:rsidR="00D34D09" w:rsidRPr="00D34D09" w:rsidRDefault="00D34D09" w:rsidP="00D34D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36A7E" w14:textId="77777777" w:rsidR="00D34D09" w:rsidRPr="00D34D09" w:rsidRDefault="00D34D09" w:rsidP="00D34D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94ED9" w14:textId="77777777" w:rsidR="00D34D09" w:rsidRPr="00D34D09" w:rsidRDefault="00D34D09" w:rsidP="00D34D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2A3F6" w14:textId="77777777" w:rsidR="00D34D09" w:rsidRPr="00D34D09" w:rsidRDefault="00D34D09" w:rsidP="00D34D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34D09" w:rsidRPr="00D34D09" w14:paraId="60935E75" w14:textId="77777777" w:rsidTr="00D34D09">
        <w:trPr>
          <w:trHeight w:val="20"/>
        </w:trPr>
        <w:tc>
          <w:tcPr>
            <w:tcW w:w="27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271A9" w14:textId="77777777" w:rsidR="00D34D09" w:rsidRPr="00D34D09" w:rsidRDefault="00D34D09" w:rsidP="00D34D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F57AE" w14:textId="74D52718" w:rsidR="00D34D09" w:rsidRPr="00D34D09" w:rsidRDefault="00D34D09" w:rsidP="00D34D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265 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38EA6" w14:textId="350564D5" w:rsidR="00D34D09" w:rsidRPr="00D34D09" w:rsidRDefault="00D34D09" w:rsidP="00D34D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194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42104" w14:textId="7073DB02" w:rsidR="00D34D09" w:rsidRPr="00D34D09" w:rsidRDefault="00D34D09" w:rsidP="00D34D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 </w:t>
            </w:r>
          </w:p>
        </w:tc>
      </w:tr>
      <w:tr w:rsidR="00D34D09" w:rsidRPr="00D34D09" w14:paraId="1B39CAB5" w14:textId="77777777" w:rsidTr="00D34D09">
        <w:trPr>
          <w:trHeight w:val="20"/>
        </w:trPr>
        <w:tc>
          <w:tcPr>
            <w:tcW w:w="2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B9DB3" w14:textId="77777777" w:rsidR="00D34D09" w:rsidRPr="00D34D09" w:rsidRDefault="00D34D09" w:rsidP="00D34D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DA4C9" w14:textId="42DD0553" w:rsidR="00D34D09" w:rsidRPr="00D34D09" w:rsidRDefault="00D34D09" w:rsidP="00D34D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774CE" w14:textId="2928E4DD" w:rsidR="00D34D09" w:rsidRPr="00D34D09" w:rsidRDefault="00D34D09" w:rsidP="00D34D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8EF1B" w14:textId="639306DA" w:rsidR="00D34D09" w:rsidRPr="00D34D09" w:rsidRDefault="00D34D09" w:rsidP="00D34D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 </w:t>
            </w:r>
          </w:p>
        </w:tc>
      </w:tr>
      <w:tr w:rsidR="00D34D09" w:rsidRPr="00D34D09" w14:paraId="447ECB23" w14:textId="77777777" w:rsidTr="00D34D09">
        <w:trPr>
          <w:trHeight w:val="20"/>
        </w:trPr>
        <w:tc>
          <w:tcPr>
            <w:tcW w:w="2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24AD0" w14:textId="77777777" w:rsidR="00D34D09" w:rsidRPr="00D34D09" w:rsidRDefault="00D34D09" w:rsidP="00D34D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CC4DD" w14:textId="3D95F0E6" w:rsidR="00D34D09" w:rsidRPr="00D34D09" w:rsidRDefault="00D34D09" w:rsidP="00D34D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907B6" w14:textId="76049229" w:rsidR="00D34D09" w:rsidRPr="00D34D09" w:rsidRDefault="00D34D09" w:rsidP="00D34D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99826" w14:textId="07577F83" w:rsidR="00D34D09" w:rsidRPr="00D34D09" w:rsidRDefault="00D34D09" w:rsidP="00D34D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D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 </w:t>
            </w:r>
          </w:p>
        </w:tc>
      </w:tr>
      <w:tr w:rsidR="00D34D09" w:rsidRPr="00D34D09" w14:paraId="100122AE" w14:textId="77777777" w:rsidTr="00D34D09">
        <w:trPr>
          <w:trHeight w:val="20"/>
        </w:trPr>
        <w:tc>
          <w:tcPr>
            <w:tcW w:w="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3D5AE" w14:textId="77777777" w:rsidR="00D34D09" w:rsidRPr="00D34D09" w:rsidRDefault="00D34D09" w:rsidP="00D34D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4D0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9577D" w14:textId="77777777" w:rsidR="00D34D09" w:rsidRPr="00D34D09" w:rsidRDefault="00D34D09" w:rsidP="00D34D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34D09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E4A19" w14:textId="4C59597F" w:rsidR="00D34D09" w:rsidRPr="00D34D09" w:rsidRDefault="00D34D09" w:rsidP="00D34D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4D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D8C4D" w14:textId="281528AC" w:rsidR="00D34D09" w:rsidRPr="00D34D09" w:rsidRDefault="00D34D09" w:rsidP="00D34D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4D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C637B" w14:textId="261CD4FE" w:rsidR="00D34D09" w:rsidRPr="00D34D09" w:rsidRDefault="00D34D09" w:rsidP="00D34D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34D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 </w:t>
            </w:r>
          </w:p>
        </w:tc>
      </w:tr>
    </w:tbl>
    <w:p w14:paraId="7A13749B" w14:textId="77777777" w:rsidR="00D34D09" w:rsidRPr="009B28CF" w:rsidRDefault="00D34D09" w:rsidP="00D34D09">
      <w:pPr>
        <w:pStyle w:val="NoSpacing1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4DDC4E5C" w14:textId="7FC8C3D5" w:rsidR="00D34D09" w:rsidRPr="00D34D09" w:rsidRDefault="00D34D09" w:rsidP="00D34D0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 DSWD-FO XII</w:t>
      </w:r>
    </w:p>
    <w:p w14:paraId="430D2CD8" w14:textId="77777777" w:rsidR="009B28CF" w:rsidRPr="00087B58" w:rsidRDefault="009B28CF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9B28CF" w14:paraId="59976603" w14:textId="77777777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67FC3935" w:rsidR="003D0AEA" w:rsidRPr="009B28CF" w:rsidRDefault="009743A1" w:rsidP="009743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23</w:t>
            </w:r>
            <w:r w:rsidR="00357D26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September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0ED915C6" w:rsidR="003D0AEA" w:rsidRPr="009B28CF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23610A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87B58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3924F3E5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087B58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23610A" w:rsidRPr="00087B58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B28CF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9B28CF" w14:paraId="48AD9834" w14:textId="77777777" w:rsidTr="00FF55CF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4A49E1B2" w:rsidR="0095060C" w:rsidRPr="009B28CF" w:rsidRDefault="009743A1" w:rsidP="00E60DCA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23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September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BEFFD" w14:textId="10799812" w:rsidR="00203D98" w:rsidRPr="009B28CF" w:rsidRDefault="000908DF" w:rsidP="00E60DCA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XII </w:t>
            </w:r>
            <w:r w:rsidR="00E60DCA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DRMD staff attended the consultation meeting </w:t>
            </w:r>
            <w:r w:rsidR="00ED732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with </w:t>
            </w:r>
            <w:r w:rsidR="00E60DCA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LGU of </w:t>
            </w:r>
            <w:proofErr w:type="spellStart"/>
            <w:r w:rsidR="00E60DCA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Pikit</w:t>
            </w:r>
            <w:proofErr w:type="spellEnd"/>
            <w:r w:rsidR="00E60DCA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and assisted the IOM </w:t>
            </w:r>
            <w:r w:rsidR="00ED732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in </w:t>
            </w:r>
            <w:r w:rsidR="00E60DCA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 conduct of CCCM Crash Course to identified camp managers.</w:t>
            </w:r>
          </w:p>
          <w:p w14:paraId="2BDFEDAC" w14:textId="37329A0C" w:rsidR="0066019E" w:rsidRPr="009B28CF" w:rsidRDefault="000908DF" w:rsidP="00E60DCA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DSWD-Field Office XII is in c</w:t>
            </w:r>
            <w:r w:rsidR="00AE096E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lose coordination with LGU of </w:t>
            </w:r>
            <w:proofErr w:type="spellStart"/>
            <w:r w:rsidR="00AE096E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Pikit</w:t>
            </w:r>
            <w:proofErr w:type="spellEnd"/>
            <w:r w:rsidR="00AE096E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through its MDRRMO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and MSWDO for any significant updates and possible relief augmentation.</w:t>
            </w:r>
          </w:p>
        </w:tc>
      </w:tr>
    </w:tbl>
    <w:p w14:paraId="5EE2023A" w14:textId="350E12AD" w:rsidR="0022209F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3" w:name="_3znysh7" w:colFirst="0" w:colLast="0"/>
      <w:bookmarkEnd w:id="3"/>
    </w:p>
    <w:p w14:paraId="256CE730" w14:textId="2DD4FC5B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59AD688D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1B7B64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23610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FF55CF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087B5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C006F45" w14:textId="401C3CF4" w:rsidR="00DE5711" w:rsidRPr="00087B58" w:rsidRDefault="00DE5711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087B58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7B97AD7" w14:textId="340C00EC" w:rsidR="001B7B64" w:rsidRPr="00087B58" w:rsidRDefault="00B25F5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>Prepared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sz w:val="24"/>
          <w:szCs w:val="24"/>
        </w:rPr>
        <w:t>by:</w:t>
      </w:r>
    </w:p>
    <w:p w14:paraId="4B8C3DDE" w14:textId="77777777" w:rsidR="006B7A8B" w:rsidRPr="00087B58" w:rsidRDefault="006B7A8B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1AA5C9B" w14:textId="48312C9E" w:rsidR="00B25F5C" w:rsidRPr="00087B58" w:rsidRDefault="00D34D09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FAF5942" w14:textId="77777777" w:rsidR="00A949BE" w:rsidRPr="00087B58" w:rsidRDefault="00A949BE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500269A" w14:textId="77777777" w:rsidR="00DE5711" w:rsidRPr="00087B58" w:rsidRDefault="00DE5711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1D59711" w14:textId="1AB8462F" w:rsidR="00470FE4" w:rsidRPr="00087B58" w:rsidRDefault="009743A1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2A115F10" w14:textId="77777777" w:rsidR="00584FCB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2et92p0" w:colFirst="0" w:colLast="0"/>
      <w:bookmarkEnd w:id="4"/>
      <w:r w:rsidRPr="00087B58">
        <w:rPr>
          <w:rFonts w:ascii="Arial" w:eastAsia="Arial" w:hAnsi="Arial" w:cs="Arial"/>
          <w:sz w:val="24"/>
          <w:szCs w:val="24"/>
        </w:rPr>
        <w:t>Releasing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sz w:val="24"/>
          <w:szCs w:val="24"/>
        </w:rPr>
        <w:t>Officer</w:t>
      </w:r>
    </w:p>
    <w:sectPr w:rsidR="00584FCB" w:rsidRPr="00087B5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895FD" w14:textId="77777777" w:rsidR="00111ACB" w:rsidRDefault="00111ACB">
      <w:pPr>
        <w:spacing w:after="0" w:line="240" w:lineRule="auto"/>
      </w:pPr>
      <w:r>
        <w:separator/>
      </w:r>
    </w:p>
  </w:endnote>
  <w:endnote w:type="continuationSeparator" w:id="0">
    <w:p w14:paraId="2CF1F12C" w14:textId="77777777" w:rsidR="00111ACB" w:rsidRDefault="0011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1BAF2171" w:rsidR="00470FE4" w:rsidRPr="006404CC" w:rsidRDefault="00FC54C7" w:rsidP="009743A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9743A1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9743A1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9743A1">
      <w:rPr>
        <w:rFonts w:ascii="Arial" w:hAnsi="Arial" w:cs="Arial"/>
        <w:sz w:val="14"/>
        <w:szCs w:val="16"/>
      </w:rPr>
      <w:t xml:space="preserve">DSWD DROMIC Report #5 on the </w:t>
    </w:r>
    <w:r w:rsidR="009743A1" w:rsidRPr="009743A1">
      <w:rPr>
        <w:rFonts w:ascii="Arial" w:hAnsi="Arial" w:cs="Arial"/>
        <w:sz w:val="14"/>
        <w:szCs w:val="16"/>
      </w:rPr>
      <w:t>Armed Co</w:t>
    </w:r>
    <w:r w:rsidR="009743A1">
      <w:rPr>
        <w:rFonts w:ascii="Arial" w:hAnsi="Arial" w:cs="Arial"/>
        <w:sz w:val="14"/>
        <w:szCs w:val="16"/>
      </w:rPr>
      <w:t xml:space="preserve">nflict in </w:t>
    </w:r>
    <w:proofErr w:type="spellStart"/>
    <w:r w:rsidR="009743A1">
      <w:rPr>
        <w:rFonts w:ascii="Arial" w:hAnsi="Arial" w:cs="Arial"/>
        <w:sz w:val="14"/>
        <w:szCs w:val="16"/>
      </w:rPr>
      <w:t>Pikit</w:t>
    </w:r>
    <w:proofErr w:type="spellEnd"/>
    <w:r w:rsidR="009743A1">
      <w:rPr>
        <w:rFonts w:ascii="Arial" w:hAnsi="Arial" w:cs="Arial"/>
        <w:sz w:val="14"/>
        <w:szCs w:val="16"/>
      </w:rPr>
      <w:t xml:space="preserve">, North Cotabato </w:t>
    </w:r>
    <w:r w:rsidR="009743A1" w:rsidRPr="009743A1">
      <w:rPr>
        <w:rFonts w:ascii="Arial" w:hAnsi="Arial" w:cs="Arial"/>
        <w:sz w:val="14"/>
        <w:szCs w:val="16"/>
      </w:rPr>
      <w:t>as of 23 September 2020, 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292B1" w14:textId="77777777" w:rsidR="00111ACB" w:rsidRDefault="00111ACB">
      <w:pPr>
        <w:spacing w:after="0" w:line="240" w:lineRule="auto"/>
      </w:pPr>
      <w:r>
        <w:separator/>
      </w:r>
    </w:p>
  </w:footnote>
  <w:footnote w:type="continuationSeparator" w:id="0">
    <w:p w14:paraId="7D88DE0D" w14:textId="77777777" w:rsidR="00111ACB" w:rsidRDefault="00111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10"/>
  </w:num>
  <w:num w:numId="5">
    <w:abstractNumId w:val="7"/>
  </w:num>
  <w:num w:numId="6">
    <w:abstractNumId w:val="16"/>
  </w:num>
  <w:num w:numId="7">
    <w:abstractNumId w:val="15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2"/>
  </w:num>
  <w:num w:numId="14">
    <w:abstractNumId w:val="9"/>
  </w:num>
  <w:num w:numId="15">
    <w:abstractNumId w:val="2"/>
  </w:num>
  <w:num w:numId="16">
    <w:abstractNumId w:val="13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1756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13534"/>
    <w:rsid w:val="00216048"/>
    <w:rsid w:val="0022209F"/>
    <w:rsid w:val="0023610A"/>
    <w:rsid w:val="002476D6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12D4D"/>
    <w:rsid w:val="005318D3"/>
    <w:rsid w:val="00533CE9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63BA"/>
    <w:rsid w:val="006A657B"/>
    <w:rsid w:val="006B7A8B"/>
    <w:rsid w:val="006D74EF"/>
    <w:rsid w:val="006E0766"/>
    <w:rsid w:val="006E3F82"/>
    <w:rsid w:val="006E6612"/>
    <w:rsid w:val="0071760E"/>
    <w:rsid w:val="0073490C"/>
    <w:rsid w:val="00736A7C"/>
    <w:rsid w:val="0074289B"/>
    <w:rsid w:val="0075109A"/>
    <w:rsid w:val="00774AAD"/>
    <w:rsid w:val="007808C4"/>
    <w:rsid w:val="00785AFB"/>
    <w:rsid w:val="00792BBD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B28CF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12799"/>
    <w:rsid w:val="00B173FF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D045A7"/>
    <w:rsid w:val="00D1096E"/>
    <w:rsid w:val="00D241F6"/>
    <w:rsid w:val="00D26E8D"/>
    <w:rsid w:val="00D30B5C"/>
    <w:rsid w:val="00D31B49"/>
    <w:rsid w:val="00D34D09"/>
    <w:rsid w:val="00D52BBE"/>
    <w:rsid w:val="00D52DBA"/>
    <w:rsid w:val="00D6202F"/>
    <w:rsid w:val="00D62A32"/>
    <w:rsid w:val="00D63239"/>
    <w:rsid w:val="00D6454A"/>
    <w:rsid w:val="00DA15B5"/>
    <w:rsid w:val="00DA1A81"/>
    <w:rsid w:val="00DA2320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F37BD-ECFF-4B40-84EF-E027E24F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Jem Eric F. Famorcan</cp:lastModifiedBy>
  <cp:revision>4</cp:revision>
  <dcterms:created xsi:type="dcterms:W3CDTF">2020-09-23T02:46:00Z</dcterms:created>
  <dcterms:modified xsi:type="dcterms:W3CDTF">2020-09-23T06:15:00Z</dcterms:modified>
</cp:coreProperties>
</file>