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3EC987" w14:textId="406157D0" w:rsidR="00453438" w:rsidRDefault="00557C5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CA273C">
        <w:rPr>
          <w:rFonts w:ascii="Arial" w:eastAsia="Arial" w:hAnsi="Arial" w:cs="Arial"/>
          <w:b/>
          <w:sz w:val="32"/>
          <w:szCs w:val="24"/>
        </w:rPr>
        <w:t>2</w:t>
      </w:r>
      <w:r w:rsidR="00F04638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7E08B8BE" w14:textId="70BF3AEE" w:rsidR="00F04638" w:rsidRDefault="006A3670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Armed Conflict</w:t>
      </w:r>
      <w:r w:rsidR="000908DF">
        <w:rPr>
          <w:rFonts w:ascii="Arial" w:eastAsia="Arial" w:hAnsi="Arial" w:cs="Arial"/>
          <w:b/>
          <w:sz w:val="32"/>
          <w:szCs w:val="24"/>
        </w:rPr>
        <w:t xml:space="preserve"> </w:t>
      </w:r>
      <w:r w:rsidR="00AA6CEC">
        <w:rPr>
          <w:rFonts w:ascii="Arial" w:eastAsia="Arial" w:hAnsi="Arial" w:cs="Arial"/>
          <w:b/>
          <w:sz w:val="32"/>
          <w:szCs w:val="24"/>
        </w:rPr>
        <w:t xml:space="preserve">in </w:t>
      </w:r>
      <w:r w:rsidR="000908DF">
        <w:rPr>
          <w:rFonts w:ascii="Arial" w:eastAsia="Arial" w:hAnsi="Arial" w:cs="Arial"/>
          <w:b/>
          <w:sz w:val="32"/>
          <w:szCs w:val="24"/>
        </w:rPr>
        <w:t xml:space="preserve">Pikit, </w:t>
      </w:r>
      <w:r w:rsidR="00F04638">
        <w:rPr>
          <w:rFonts w:ascii="Arial" w:eastAsia="Arial" w:hAnsi="Arial" w:cs="Arial"/>
          <w:b/>
          <w:sz w:val="32"/>
          <w:szCs w:val="24"/>
        </w:rPr>
        <w:t>North C</w:t>
      </w:r>
      <w:r w:rsidR="00F04638" w:rsidRPr="00F04638">
        <w:rPr>
          <w:rFonts w:ascii="Arial" w:eastAsia="Arial" w:hAnsi="Arial" w:cs="Arial"/>
          <w:b/>
          <w:sz w:val="32"/>
          <w:szCs w:val="24"/>
        </w:rPr>
        <w:t>otabato</w:t>
      </w:r>
    </w:p>
    <w:p w14:paraId="150B165C" w14:textId="68B34606" w:rsidR="00E94313" w:rsidRPr="00F0463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CA273C">
        <w:rPr>
          <w:rFonts w:ascii="Arial" w:eastAsia="Arial" w:hAnsi="Arial" w:cs="Arial"/>
          <w:sz w:val="24"/>
          <w:szCs w:val="24"/>
        </w:rPr>
        <w:t>03</w:t>
      </w:r>
      <w:r w:rsidR="00B12799">
        <w:rPr>
          <w:rFonts w:ascii="Arial" w:eastAsia="Arial" w:hAnsi="Arial" w:cs="Arial"/>
          <w:sz w:val="24"/>
          <w:szCs w:val="24"/>
        </w:rPr>
        <w:t xml:space="preserve"> Ju</w:t>
      </w:r>
      <w:r w:rsidR="00CA273C">
        <w:rPr>
          <w:rFonts w:ascii="Arial" w:eastAsia="Arial" w:hAnsi="Arial" w:cs="Arial"/>
          <w:sz w:val="24"/>
          <w:szCs w:val="24"/>
        </w:rPr>
        <w:t>ly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sz w:val="24"/>
          <w:szCs w:val="24"/>
        </w:rPr>
        <w:t>2020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CA273C">
        <w:rPr>
          <w:rFonts w:ascii="Arial" w:eastAsia="Arial" w:hAnsi="Arial" w:cs="Arial"/>
          <w:sz w:val="24"/>
          <w:szCs w:val="24"/>
        </w:rPr>
        <w:t>4</w:t>
      </w:r>
      <w:r w:rsidR="0023610A">
        <w:rPr>
          <w:rFonts w:ascii="Arial" w:eastAsia="Arial" w:hAnsi="Arial" w:cs="Arial"/>
          <w:sz w:val="24"/>
          <w:szCs w:val="24"/>
        </w:rPr>
        <w:t>P</w:t>
      </w:r>
      <w:r w:rsidR="00352A1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E94313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098FD5D" w14:textId="77777777" w:rsidR="00A216DC" w:rsidRPr="00AE4967" w:rsidRDefault="00A216DC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DD7465E" w14:textId="13B34FC4" w:rsidR="005734ED" w:rsidRDefault="00C670C1" w:rsidP="00AE096E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>07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>June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</w:t>
      </w:r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>among unidentified armed groups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>in Brgys. Rajamuda, Talitau, Bulol and Bulod in Pikit, North Cotabato</w:t>
      </w:r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which resulted to t</w:t>
      </w:r>
      <w:r w:rsidR="00131888">
        <w:rPr>
          <w:rFonts w:ascii="Arial" w:eastAsia="Arial" w:hAnsi="Arial" w:cs="Arial"/>
          <w:color w:val="000000" w:themeColor="text1"/>
          <w:sz w:val="24"/>
          <w:szCs w:val="24"/>
        </w:rPr>
        <w:t xml:space="preserve">he displacement of </w:t>
      </w:r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families</w:t>
      </w:r>
      <w:r w:rsidR="00131888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area</w:t>
      </w:r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F4D6697" w14:textId="5C275205" w:rsidR="007E5483" w:rsidRPr="000908DF" w:rsidRDefault="00AE4967" w:rsidP="00AE096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70B8C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EBBED82" w14:textId="77777777" w:rsidR="000908DF" w:rsidRDefault="000908DF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</w:p>
    <w:p w14:paraId="27657A29" w14:textId="3BE080DA" w:rsidR="00470FE4" w:rsidRPr="00AE4967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0E9778D" w:rsidR="00470FE4" w:rsidRPr="00D52DBA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3610A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2361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57050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AA6CEC" w:rsidRPr="00AA6CE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957050">
        <w:rPr>
          <w:rFonts w:ascii="Arial" w:eastAsia="Arial" w:hAnsi="Arial" w:cs="Arial"/>
          <w:b/>
          <w:color w:val="0070C0"/>
          <w:sz w:val="24"/>
          <w:szCs w:val="24"/>
        </w:rPr>
        <w:t>257</w:t>
      </w:r>
      <w:r w:rsidR="00AA6CEC" w:rsidRPr="00AA6C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930E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930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A273C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AA6CEC" w:rsidRPr="00AA6CE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957050">
        <w:rPr>
          <w:rFonts w:ascii="Arial" w:eastAsia="Arial" w:hAnsi="Arial" w:cs="Arial"/>
          <w:b/>
          <w:color w:val="0070C0"/>
          <w:sz w:val="24"/>
          <w:szCs w:val="24"/>
        </w:rPr>
        <w:t>73</w:t>
      </w:r>
      <w:r w:rsidR="0075109A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AA6CEC" w:rsidRPr="00AA6C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E6BC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D52DBA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4638" w:rsidRPr="00AA6CEC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4C0ABF" w:rsidRPr="00AA6CEC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4C0ABF" w:rsidRPr="00D52DB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F04638" w:rsidRPr="00AA6CEC">
        <w:rPr>
          <w:rFonts w:ascii="Arial" w:eastAsia="Arial" w:hAnsi="Arial" w:cs="Arial"/>
          <w:b/>
          <w:color w:val="0070C0"/>
          <w:sz w:val="24"/>
          <w:szCs w:val="24"/>
        </w:rPr>
        <w:t>Pikit</w:t>
      </w:r>
      <w:r w:rsidRPr="00AA6CEC">
        <w:rPr>
          <w:rFonts w:ascii="Arial" w:eastAsia="Arial" w:hAnsi="Arial" w:cs="Arial"/>
          <w:b/>
          <w:color w:val="0070C0"/>
          <w:sz w:val="24"/>
          <w:szCs w:val="24"/>
        </w:rPr>
        <w:t xml:space="preserve">, North Cotabato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D52DBA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E4967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77777777" w:rsidR="00470FE4" w:rsidRPr="00A6749E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317"/>
        <w:gridCol w:w="1644"/>
        <w:gridCol w:w="1533"/>
        <w:gridCol w:w="1534"/>
      </w:tblGrid>
      <w:tr w:rsidR="00957050" w:rsidRPr="007D5771" w14:paraId="4986CA45" w14:textId="77777777" w:rsidTr="00957050">
        <w:trPr>
          <w:trHeight w:val="20"/>
        </w:trPr>
        <w:tc>
          <w:tcPr>
            <w:tcW w:w="2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458E42" w14:textId="77777777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6F7921" w14:textId="77777777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57050" w:rsidRPr="007D5771" w14:paraId="4663BCC4" w14:textId="77777777" w:rsidTr="00957050">
        <w:trPr>
          <w:trHeight w:val="20"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25177B" w14:textId="77777777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02B06A" w14:textId="77777777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36872F" w14:textId="77777777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ECE427" w14:textId="77777777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57050" w:rsidRPr="007D5771" w14:paraId="6931F1D6" w14:textId="77777777" w:rsidTr="0095705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302E7E" w14:textId="77777777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7473A3" w14:textId="436E4E02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850238" w14:textId="2470D9CE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B2D531" w14:textId="7BA41A01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11,730 </w:t>
            </w:r>
          </w:p>
        </w:tc>
      </w:tr>
      <w:tr w:rsidR="00957050" w:rsidRPr="007D5771" w14:paraId="4026B84A" w14:textId="77777777" w:rsidTr="0095705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177DD4" w14:textId="77777777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42F4BF" w14:textId="37173299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B42F35" w14:textId="34F5FC30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83ECC8" w14:textId="058FC56B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11,730 </w:t>
            </w:r>
          </w:p>
        </w:tc>
      </w:tr>
      <w:tr w:rsidR="00957050" w:rsidRPr="007D5771" w14:paraId="27D881C4" w14:textId="77777777" w:rsidTr="0095705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8B9D0" w14:textId="77777777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7D2C9E" w14:textId="77EDBC6D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256AE2" w14:textId="27307838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8256DE" w14:textId="3AB65FD1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11,730 </w:t>
            </w:r>
          </w:p>
        </w:tc>
      </w:tr>
      <w:tr w:rsidR="00957050" w:rsidRPr="007D5771" w14:paraId="6A00CC87" w14:textId="77777777" w:rsidTr="0095705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6FD77" w14:textId="77777777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A017" w14:textId="77777777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84E60" w14:textId="395192F5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37F4E" w14:textId="776024E5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C9A7" w14:textId="0D2E5B70" w:rsidR="00957050" w:rsidRPr="007D5771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577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11,730 </w:t>
            </w:r>
          </w:p>
        </w:tc>
      </w:tr>
    </w:tbl>
    <w:p w14:paraId="42CFFD81" w14:textId="77777777" w:rsidR="00C71101" w:rsidRPr="00A6749E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14:paraId="77D7766C" w14:textId="6CD3D8EE" w:rsidR="00AA6CEC" w:rsidRPr="000908DF" w:rsidRDefault="005930E9" w:rsidP="00AE096E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641C368E" w14:textId="77777777" w:rsidR="000908DF" w:rsidRDefault="000908DF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7BA9D" w14:textId="1DC68655" w:rsidR="005318D3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983E8D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983E8D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983E8D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983E8D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983E8D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983E8D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7B489047" w:rsidR="00E04AE5" w:rsidRPr="00890200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AA6CE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9570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836</w:t>
      </w:r>
      <w:r w:rsidR="00AA6CEC" w:rsidRPr="00AA6CE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570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</w:t>
      </w:r>
      <w:r w:rsidR="00AA6CEC" w:rsidRPr="00AA6CE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,</w:t>
      </w:r>
      <w:r w:rsidR="009570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087</w:t>
      </w:r>
      <w:r w:rsidR="00AA6CEC" w:rsidRPr="00AA6CE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57050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8 </w:t>
      </w:r>
      <w:r w:rsidR="0074289B" w:rsidRPr="00AA6CE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</w:t>
      </w:r>
      <w:r w:rsidR="00E04AE5" w:rsidRPr="00AA6CE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AA6CE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center</w:t>
      </w:r>
      <w:r w:rsidR="0073490C" w:rsidRPr="00AA6CE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E04AE5" w:rsidRPr="00AA6CEC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16747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r w:rsidR="00162C7C" w:rsidRPr="00AA6CEC">
        <w:rPr>
          <w:rFonts w:ascii="Arial" w:eastAsia="Arial" w:hAnsi="Arial" w:cs="Arial"/>
          <w:b/>
          <w:color w:val="0070C0"/>
          <w:sz w:val="24"/>
          <w:szCs w:val="24"/>
        </w:rPr>
        <w:t>Pikit</w:t>
      </w:r>
      <w:r w:rsidR="0023610A" w:rsidRPr="00AA6CEC">
        <w:rPr>
          <w:rFonts w:ascii="Arial" w:eastAsia="Arial" w:hAnsi="Arial" w:cs="Arial"/>
          <w:b/>
          <w:color w:val="0070C0"/>
          <w:sz w:val="24"/>
          <w:szCs w:val="24"/>
        </w:rPr>
        <w:t xml:space="preserve">, North Cotabato </w:t>
      </w:r>
      <w:r w:rsidR="00C71101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14:paraId="4283DB44" w14:textId="77777777" w:rsidR="00C71101" w:rsidRPr="00E04AE5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66" w:type="pct"/>
        <w:tblInd w:w="846" w:type="dxa"/>
        <w:tblLayout w:type="fixed"/>
        <w:tblLook w:val="04A0" w:firstRow="1" w:lastRow="0" w:firstColumn="1" w:lastColumn="0" w:noHBand="0" w:noVBand="1"/>
      </w:tblPr>
      <w:tblGrid>
        <w:gridCol w:w="287"/>
        <w:gridCol w:w="2692"/>
        <w:gridCol w:w="850"/>
        <w:gridCol w:w="852"/>
        <w:gridCol w:w="1132"/>
        <w:gridCol w:w="998"/>
        <w:gridCol w:w="991"/>
        <w:gridCol w:w="1094"/>
      </w:tblGrid>
      <w:tr w:rsidR="00957050" w:rsidRPr="00957050" w14:paraId="6AEA0250" w14:textId="77777777" w:rsidTr="00957050">
        <w:trPr>
          <w:trHeight w:val="20"/>
        </w:trPr>
        <w:tc>
          <w:tcPr>
            <w:tcW w:w="16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6620A4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7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FEFEBB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37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57F2CE4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57050" w:rsidRPr="00957050" w14:paraId="1456296D" w14:textId="77777777" w:rsidTr="00957050">
        <w:trPr>
          <w:trHeight w:val="20"/>
        </w:trPr>
        <w:tc>
          <w:tcPr>
            <w:tcW w:w="16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67AEF3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6BBB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6C4BB67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57050" w:rsidRPr="00957050" w14:paraId="02488261" w14:textId="77777777" w:rsidTr="00957050">
        <w:trPr>
          <w:trHeight w:val="20"/>
        </w:trPr>
        <w:tc>
          <w:tcPr>
            <w:tcW w:w="16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7FE741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78C57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FDCBF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3437AC" w14:textId="55EB8BC0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57050" w:rsidRPr="00957050" w14:paraId="0E0450FB" w14:textId="77777777" w:rsidTr="00957050">
        <w:trPr>
          <w:trHeight w:val="20"/>
        </w:trPr>
        <w:tc>
          <w:tcPr>
            <w:tcW w:w="16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BE6764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91469A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4E5DEB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75EBF8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EA5CA3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F0C75C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1CEEDC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57050" w:rsidRPr="00957050" w14:paraId="1FB5D732" w14:textId="77777777" w:rsidTr="00957050">
        <w:trPr>
          <w:trHeight w:val="20"/>
        </w:trPr>
        <w:tc>
          <w:tcPr>
            <w:tcW w:w="1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A3659B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7DBC88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B68359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D9D449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B1BE07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D3CD49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7752F1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7050" w:rsidRPr="00957050" w14:paraId="2B13575D" w14:textId="77777777" w:rsidTr="00957050">
        <w:trPr>
          <w:trHeight w:val="20"/>
        </w:trPr>
        <w:tc>
          <w:tcPr>
            <w:tcW w:w="1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0D6585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FC5651" w14:textId="17E1D7C1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882157" w14:textId="118A0C9A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73DE1F" w14:textId="53BF8A9E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1D4219" w14:textId="4D626D89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836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7D9638" w14:textId="549B46B3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4,751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F8B3B7" w14:textId="3ED20C1E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3,087 </w:t>
            </w:r>
          </w:p>
        </w:tc>
      </w:tr>
      <w:tr w:rsidR="00957050" w:rsidRPr="00957050" w14:paraId="6BCF8CA4" w14:textId="77777777" w:rsidTr="00957050">
        <w:trPr>
          <w:trHeight w:val="20"/>
        </w:trPr>
        <w:tc>
          <w:tcPr>
            <w:tcW w:w="1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0B4322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1B399A" w14:textId="694F9F06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7DC960" w14:textId="6B8B5D3B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A3283E" w14:textId="563BBD3A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4B8720" w14:textId="00694F23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836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8B9DBB" w14:textId="0F47E5F9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4,751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2EF73B" w14:textId="43B29F6A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3,087 </w:t>
            </w:r>
          </w:p>
        </w:tc>
      </w:tr>
      <w:tr w:rsidR="00957050" w:rsidRPr="00957050" w14:paraId="6CCE8882" w14:textId="77777777" w:rsidTr="00957050">
        <w:trPr>
          <w:trHeight w:val="20"/>
        </w:trPr>
        <w:tc>
          <w:tcPr>
            <w:tcW w:w="1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35350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AFCE8C" w14:textId="66963F0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3AA54" w14:textId="39AF7919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FA0758" w14:textId="46A00A60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F8A8F8" w14:textId="699E86C3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836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76EF29" w14:textId="3B18C9C9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4,751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C1D327" w14:textId="15C332CF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3,087 </w:t>
            </w:r>
          </w:p>
        </w:tc>
      </w:tr>
      <w:tr w:rsidR="00957050" w:rsidRPr="00957050" w14:paraId="7A5A5CAC" w14:textId="77777777" w:rsidTr="00957050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7E17B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0812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C72F5" w14:textId="6E230AF2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2E15E" w14:textId="62A37828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AE1C" w14:textId="7B8A137B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1,376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055A4" w14:textId="19AB3C83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25CF3" w14:textId="7B0F5393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4,751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D774" w14:textId="1F95EE81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3,087 </w:t>
            </w:r>
          </w:p>
        </w:tc>
      </w:tr>
    </w:tbl>
    <w:p w14:paraId="0CF61243" w14:textId="77777777" w:rsidR="002D1B51" w:rsidRDefault="009376A4" w:rsidP="00AE096E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2D1B51" w:rsidRPr="002D1B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C110CCB" w14:textId="5307559E" w:rsidR="000908DF" w:rsidRPr="000908DF" w:rsidRDefault="00875F87" w:rsidP="00AE096E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0582B07A" w14:textId="19D1D6B2" w:rsidR="000908DF" w:rsidRDefault="000908DF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2261766" w14:textId="2A5C6864" w:rsidR="00983E8D" w:rsidRDefault="00983E8D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61D90FB" w14:textId="274FC00E" w:rsidR="00983E8D" w:rsidRDefault="00983E8D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987AEE1" w14:textId="254CC6C1" w:rsidR="00983E8D" w:rsidRDefault="00983E8D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D71ABDD" w14:textId="5CDAF747" w:rsidR="00983E8D" w:rsidRDefault="00983E8D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74D4F42" w14:textId="4BE68977" w:rsidR="00983E8D" w:rsidRDefault="00983E8D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634890C" w14:textId="087A8401" w:rsidR="00983E8D" w:rsidRDefault="00983E8D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F26CA64" w14:textId="6E2F48B9" w:rsidR="00983E8D" w:rsidRDefault="00983E8D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705DEB7" w14:textId="273DCF8D" w:rsidR="00983E8D" w:rsidRDefault="00983E8D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8209B57" w14:textId="77777777" w:rsidR="00983E8D" w:rsidRPr="00957050" w:rsidRDefault="00983E8D" w:rsidP="00957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7020B20" w14:textId="0BE0ADB9" w:rsidR="00E04AE5" w:rsidRPr="00983E8D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83E8D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</w:t>
      </w:r>
      <w:r w:rsidR="00E04AE5" w:rsidRPr="00983E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83E8D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983E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83E8D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168A409D" w:rsidR="005318D3" w:rsidRPr="00D63239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63239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57050">
        <w:rPr>
          <w:rFonts w:ascii="Arial" w:eastAsia="Arial" w:hAnsi="Arial" w:cs="Arial"/>
          <w:b/>
          <w:color w:val="0070C0"/>
          <w:sz w:val="24"/>
          <w:szCs w:val="24"/>
        </w:rPr>
        <w:t>1,867</w:t>
      </w:r>
      <w:r w:rsidR="00AA6CEC" w:rsidRPr="00AA6C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57050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AA6CEC" w:rsidRPr="00AA6CE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957050">
        <w:rPr>
          <w:rFonts w:ascii="Arial" w:eastAsia="Arial" w:hAnsi="Arial" w:cs="Arial"/>
          <w:b/>
          <w:color w:val="0070C0"/>
          <w:sz w:val="24"/>
          <w:szCs w:val="24"/>
        </w:rPr>
        <w:t>930</w:t>
      </w:r>
      <w:r w:rsidR="00AA6CEC" w:rsidRPr="00AA6C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>t</w:t>
      </w:r>
      <w:r w:rsidRPr="00D63239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63239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AE4967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E04AE5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3.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Number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of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Displaced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Families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/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Persons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Outside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Evacuation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Center</w:t>
      </w:r>
      <w:r w:rsid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283"/>
        <w:gridCol w:w="4679"/>
        <w:gridCol w:w="1133"/>
        <w:gridCol w:w="992"/>
        <w:gridCol w:w="998"/>
        <w:gridCol w:w="807"/>
      </w:tblGrid>
      <w:tr w:rsidR="00957050" w:rsidRPr="00957050" w14:paraId="4EBF1DBD" w14:textId="77777777" w:rsidTr="00957050">
        <w:trPr>
          <w:trHeight w:val="20"/>
        </w:trPr>
        <w:tc>
          <w:tcPr>
            <w:tcW w:w="2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BFBB13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78A783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57050" w:rsidRPr="00957050" w14:paraId="0C04943B" w14:textId="77777777" w:rsidTr="00957050">
        <w:trPr>
          <w:trHeight w:val="20"/>
        </w:trPr>
        <w:tc>
          <w:tcPr>
            <w:tcW w:w="2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E4AAA3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72F3ED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57050" w:rsidRPr="00957050" w14:paraId="1E5FEB5A" w14:textId="77777777" w:rsidTr="00957050">
        <w:trPr>
          <w:trHeight w:val="20"/>
        </w:trPr>
        <w:tc>
          <w:tcPr>
            <w:tcW w:w="2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B759B3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F8FFB1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761713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57050" w:rsidRPr="00957050" w14:paraId="0BE038E8" w14:textId="77777777" w:rsidTr="00957050">
        <w:trPr>
          <w:trHeight w:val="20"/>
        </w:trPr>
        <w:tc>
          <w:tcPr>
            <w:tcW w:w="2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D49F0E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E6C13D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90233E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A4D273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2A3FD9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57050" w:rsidRPr="00957050" w14:paraId="233D2ABE" w14:textId="77777777" w:rsidTr="00957050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FC704A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6CCBBB" w14:textId="1432C848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1,881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D0A0B9" w14:textId="0B96E1ED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1,867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B2A03E" w14:textId="75DACB29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6,979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BA257D" w14:textId="32F17A66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6,930 </w:t>
            </w:r>
          </w:p>
        </w:tc>
      </w:tr>
      <w:tr w:rsidR="00957050" w:rsidRPr="00957050" w14:paraId="2D0115C1" w14:textId="77777777" w:rsidTr="00957050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9D7816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14E59E" w14:textId="7C470F04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1,881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B9C186" w14:textId="5F667A31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1,867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423DCB" w14:textId="36419759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6,979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49885C" w14:textId="4A75B1E9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6,930 </w:t>
            </w:r>
          </w:p>
        </w:tc>
      </w:tr>
      <w:tr w:rsidR="00957050" w:rsidRPr="00957050" w14:paraId="2DE85436" w14:textId="77777777" w:rsidTr="00957050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C48FC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78A40A" w14:textId="35937832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1,881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3A1230" w14:textId="78281A94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1,867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D88D56" w14:textId="430D1596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6,979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B2E42D" w14:textId="2E8576DB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6,930 </w:t>
            </w:r>
          </w:p>
        </w:tc>
      </w:tr>
      <w:tr w:rsidR="00957050" w:rsidRPr="00957050" w14:paraId="4BD175B1" w14:textId="77777777" w:rsidTr="00957050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3687E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918D" w14:textId="7777777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897A8" w14:textId="56536C91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EBBCE" w14:textId="1C86E3BA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1,867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BB62" w14:textId="12A6C824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6,979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67A9" w14:textId="5AC23F27" w:rsidR="00957050" w:rsidRPr="00957050" w:rsidRDefault="00957050" w:rsidP="00957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0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6,930 </w:t>
            </w:r>
          </w:p>
        </w:tc>
      </w:tr>
    </w:tbl>
    <w:p w14:paraId="4EA3364A" w14:textId="77777777" w:rsidR="00890200" w:rsidRPr="00E04AE5" w:rsidRDefault="005318D3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66273F"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="00890200"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14:paraId="2FE2444B" w14:textId="7C4F5B75" w:rsidR="000A69C5" w:rsidRPr="000908DF" w:rsidRDefault="005318D3" w:rsidP="00AE096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207DE568" w14:textId="77777777" w:rsidR="00AE096E" w:rsidRPr="00AE096E" w:rsidRDefault="00AE096E" w:rsidP="00AE096E">
      <w:pPr>
        <w:spacing w:after="0" w:line="240" w:lineRule="auto"/>
        <w:contextualSpacing/>
      </w:pPr>
    </w:p>
    <w:p w14:paraId="0105ACB9" w14:textId="4734542D" w:rsidR="003D0AEA" w:rsidRPr="001B7B64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51BFF173" w14:textId="77777777" w:rsidR="001B7B64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AE4967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E72D8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E72D8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E72D8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26C8DE53" w:rsidR="003D0AEA" w:rsidRPr="009E72D8" w:rsidRDefault="00983E8D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="00357D2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E72D8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0BC2A077" w14:textId="77777777" w:rsidR="00B25F5C" w:rsidRPr="00AE4967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654A30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654A30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654A3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654A30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654A30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E72D8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2" w:name="_1fob9te" w:colFirst="0" w:colLast="0"/>
            <w:bookmarkEnd w:id="2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E72D8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9E72D8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5E869747" w:rsidR="0095060C" w:rsidRPr="00983E8D" w:rsidRDefault="00983E8D" w:rsidP="00983E8D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 July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EFFD" w14:textId="77777777" w:rsidR="00203D98" w:rsidRDefault="000908DF" w:rsidP="00AE096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908D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 conducted validation and coordination to the Municipal Social Welfare Officer in the Municipality of Pikit, North Cotabato.</w:t>
            </w:r>
          </w:p>
          <w:p w14:paraId="3E26DDE0" w14:textId="77777777" w:rsidR="00957050" w:rsidRDefault="000908DF" w:rsidP="00957050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Field Office</w:t>
            </w: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XII is in c</w:t>
            </w:r>
            <w:r w:rsidR="00AE096E">
              <w:rPr>
                <w:rFonts w:ascii="Arial" w:eastAsia="Arial" w:hAnsi="Arial" w:cs="Arial"/>
                <w:color w:val="0070C0"/>
                <w:sz w:val="20"/>
                <w:szCs w:val="24"/>
              </w:rPr>
              <w:t>lose coordination with LGU of Pikit through its MDRRMO</w:t>
            </w: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MSWDO for any significant updates and possible relief augmentation.</w:t>
            </w:r>
          </w:p>
          <w:p w14:paraId="66487DBF" w14:textId="77777777" w:rsidR="0066019E" w:rsidRDefault="00957050" w:rsidP="0066019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</w:t>
            </w:r>
            <w:r w:rsidR="0066019E"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 w:rsidRPr="00957050">
              <w:rPr>
                <w:rFonts w:ascii="Arial" w:eastAsia="Arial" w:hAnsi="Arial" w:cs="Arial"/>
                <w:color w:val="0070C0"/>
                <w:sz w:val="20"/>
                <w:szCs w:val="24"/>
              </w:rPr>
              <w:t>DRMD staff attended the consultation meeting in LGU of Pikit and assisted the IOM for the conduct of CCCM Crashed Course to identified camp managers.</w:t>
            </w:r>
          </w:p>
          <w:p w14:paraId="2BDFEDAC" w14:textId="5B40F6CA" w:rsidR="0066019E" w:rsidRPr="0066019E" w:rsidRDefault="0066019E" w:rsidP="0066019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6019E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XII-DRMD staff conducted an actual validation in different existing Evacuation centers.</w:t>
            </w:r>
          </w:p>
        </w:tc>
      </w:tr>
    </w:tbl>
    <w:p w14:paraId="3616D818" w14:textId="77777777" w:rsidR="00803294" w:rsidRDefault="00803294" w:rsidP="00AE096E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3" w:name="_3znysh7" w:colFirst="0" w:colLast="0"/>
      <w:bookmarkEnd w:id="3"/>
    </w:p>
    <w:p w14:paraId="256CE730" w14:textId="77777777" w:rsidR="00470FE4" w:rsidRPr="001B7B64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14:paraId="5DEDE770" w14:textId="59AD688D" w:rsidR="00470FE4" w:rsidRPr="001B7B64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1B7B64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X</w:t>
      </w:r>
      <w:r w:rsidR="0023610A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FF55CF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14:paraId="0AD4AD13" w14:textId="77777777" w:rsidR="00D6454A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006F45" w14:textId="401C3CF4" w:rsidR="00DE5711" w:rsidRDefault="00DE5711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AE4967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340C00EC" w:rsidR="001B7B64" w:rsidRDefault="00B25F5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14:paraId="4B8C3DDE" w14:textId="77777777" w:rsidR="006B7A8B" w:rsidRPr="001B7B64" w:rsidRDefault="006B7A8B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1AA5C9B" w14:textId="7F72D0F7" w:rsidR="00B25F5C" w:rsidRPr="00AE4967" w:rsidRDefault="00A1434B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FAF5942" w14:textId="77777777" w:rsidR="00A949BE" w:rsidRDefault="00A949BE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AE4967" w:rsidRDefault="00DE5711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3AA58868" w:rsidR="00470FE4" w:rsidRPr="00AE4967" w:rsidRDefault="00A1434B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77777777" w:rsidR="00584FCB" w:rsidRPr="00AE4967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A4528" w14:textId="77777777" w:rsidR="003F11EE" w:rsidRDefault="003F11EE">
      <w:pPr>
        <w:spacing w:after="0" w:line="240" w:lineRule="auto"/>
      </w:pPr>
      <w:r>
        <w:separator/>
      </w:r>
    </w:p>
  </w:endnote>
  <w:endnote w:type="continuationSeparator" w:id="0">
    <w:p w14:paraId="426DC4C6" w14:textId="77777777" w:rsidR="003F11EE" w:rsidRDefault="003F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2639CA44" w:rsidR="00470FE4" w:rsidRPr="006404CC" w:rsidRDefault="00FC54C7" w:rsidP="00CA273C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AE096E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AE096E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CA273C" w:rsidRPr="00CA273C">
      <w:rPr>
        <w:rFonts w:ascii="Arial" w:hAnsi="Arial" w:cs="Arial"/>
        <w:sz w:val="14"/>
        <w:szCs w:val="16"/>
      </w:rPr>
      <w:t>DSWD DROMIC Report #2 on the Armed Conflict in Pikit, North Cotabato</w:t>
    </w:r>
    <w:r w:rsidR="00CA273C">
      <w:rPr>
        <w:rFonts w:ascii="Arial" w:hAnsi="Arial" w:cs="Arial"/>
        <w:sz w:val="14"/>
        <w:szCs w:val="16"/>
      </w:rPr>
      <w:t xml:space="preserve"> </w:t>
    </w:r>
    <w:r w:rsidR="00CA273C" w:rsidRPr="00CA273C">
      <w:rPr>
        <w:rFonts w:ascii="Arial" w:hAnsi="Arial" w:cs="Arial"/>
        <w:sz w:val="14"/>
        <w:szCs w:val="16"/>
      </w:rPr>
      <w:t>as of 03 July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702AB" w14:textId="77777777" w:rsidR="003F11EE" w:rsidRDefault="003F11EE">
      <w:pPr>
        <w:spacing w:after="0" w:line="240" w:lineRule="auto"/>
      </w:pPr>
      <w:r>
        <w:separator/>
      </w:r>
    </w:p>
  </w:footnote>
  <w:footnote w:type="continuationSeparator" w:id="0">
    <w:p w14:paraId="23E9F9CF" w14:textId="77777777" w:rsidR="003F11EE" w:rsidRDefault="003F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0"/>
  </w:num>
  <w:num w:numId="5">
    <w:abstractNumId w:val="7"/>
  </w:num>
  <w:num w:numId="6">
    <w:abstractNumId w:val="15"/>
  </w:num>
  <w:num w:numId="7">
    <w:abstractNumId w:val="14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90501"/>
    <w:rsid w:val="000908DF"/>
    <w:rsid w:val="000912AB"/>
    <w:rsid w:val="00095453"/>
    <w:rsid w:val="000A69B3"/>
    <w:rsid w:val="000A69C5"/>
    <w:rsid w:val="000C5EAB"/>
    <w:rsid w:val="000D1757"/>
    <w:rsid w:val="000D1CD4"/>
    <w:rsid w:val="000D724C"/>
    <w:rsid w:val="000E548F"/>
    <w:rsid w:val="000F4A2E"/>
    <w:rsid w:val="000F7644"/>
    <w:rsid w:val="00111B24"/>
    <w:rsid w:val="0011327B"/>
    <w:rsid w:val="00115608"/>
    <w:rsid w:val="00120A02"/>
    <w:rsid w:val="0012649A"/>
    <w:rsid w:val="00131888"/>
    <w:rsid w:val="00133832"/>
    <w:rsid w:val="001375C2"/>
    <w:rsid w:val="00145851"/>
    <w:rsid w:val="0014594D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03D98"/>
    <w:rsid w:val="00213534"/>
    <w:rsid w:val="00216048"/>
    <w:rsid w:val="0023610A"/>
    <w:rsid w:val="002476D6"/>
    <w:rsid w:val="002737D6"/>
    <w:rsid w:val="00283C78"/>
    <w:rsid w:val="00286609"/>
    <w:rsid w:val="00286B32"/>
    <w:rsid w:val="002977DD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1475"/>
    <w:rsid w:val="004D4901"/>
    <w:rsid w:val="004D742A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24ED"/>
    <w:rsid w:val="006A0552"/>
    <w:rsid w:val="006A3670"/>
    <w:rsid w:val="006A63BA"/>
    <w:rsid w:val="006A657B"/>
    <w:rsid w:val="006B7A8B"/>
    <w:rsid w:val="006D74EF"/>
    <w:rsid w:val="006E0766"/>
    <w:rsid w:val="006E3F82"/>
    <w:rsid w:val="006E6612"/>
    <w:rsid w:val="0071760E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57050"/>
    <w:rsid w:val="00975608"/>
    <w:rsid w:val="00983E8D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F1169"/>
    <w:rsid w:val="00AF47F9"/>
    <w:rsid w:val="00AF4FCB"/>
    <w:rsid w:val="00AF5800"/>
    <w:rsid w:val="00B0192D"/>
    <w:rsid w:val="00B12799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42FE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04638"/>
    <w:rsid w:val="00F12EAD"/>
    <w:rsid w:val="00F24FAE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6C1C-C38C-4DAF-8555-139A30EF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2020-07-03T01:10:00Z</dcterms:created>
  <dcterms:modified xsi:type="dcterms:W3CDTF">2020-07-03T05:53:00Z</dcterms:modified>
</cp:coreProperties>
</file>